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49F1" w14:textId="77777777" w:rsidR="00FE6B64" w:rsidRDefault="00655EE2" w:rsidP="002E2E73">
      <w:pPr>
        <w:rPr>
          <w:rFonts w:ascii="Avenir Heavy" w:hAnsi="Avenir Heavy" w:cs="Arial"/>
          <w:sz w:val="28"/>
          <w:szCs w:val="28"/>
        </w:rPr>
      </w:pPr>
      <w:r w:rsidRPr="00FE6B64">
        <w:rPr>
          <w:rFonts w:ascii="Avenir Heavy" w:hAnsi="Avenir Heavy" w:cs="Arial"/>
          <w:sz w:val="28"/>
          <w:szCs w:val="28"/>
        </w:rPr>
        <w:t xml:space="preserve">Health </w:t>
      </w:r>
      <w:r w:rsidR="00BA76FF" w:rsidRPr="00FE6B64">
        <w:rPr>
          <w:rFonts w:ascii="Avenir Heavy" w:hAnsi="Avenir Heavy" w:cs="Arial"/>
          <w:sz w:val="28"/>
          <w:szCs w:val="28"/>
        </w:rPr>
        <w:t>Disparities</w:t>
      </w:r>
      <w:r w:rsidRPr="00FE6B64">
        <w:rPr>
          <w:rFonts w:ascii="Avenir Heavy" w:hAnsi="Avenir Heavy" w:cs="Arial"/>
          <w:sz w:val="28"/>
          <w:szCs w:val="28"/>
        </w:rPr>
        <w:t xml:space="preserve"> at the Inters</w:t>
      </w:r>
      <w:r w:rsidR="00FB18B1" w:rsidRPr="00FE6B64">
        <w:rPr>
          <w:rFonts w:ascii="Avenir Heavy" w:hAnsi="Avenir Heavy" w:cs="Arial"/>
          <w:sz w:val="28"/>
          <w:szCs w:val="28"/>
        </w:rPr>
        <w:t xml:space="preserve">ection of Disability and </w:t>
      </w:r>
      <w:r w:rsidR="004B30D6" w:rsidRPr="00FE6B64">
        <w:rPr>
          <w:rFonts w:ascii="Avenir Heavy" w:hAnsi="Avenir Heavy" w:cs="Arial"/>
          <w:sz w:val="28"/>
          <w:szCs w:val="28"/>
        </w:rPr>
        <w:t>Gender</w:t>
      </w:r>
      <w:r w:rsidR="00FB18B1" w:rsidRPr="00FE6B64">
        <w:rPr>
          <w:rFonts w:ascii="Avenir Heavy" w:hAnsi="Avenir Heavy" w:cs="Arial"/>
          <w:sz w:val="28"/>
          <w:szCs w:val="28"/>
        </w:rPr>
        <w:t xml:space="preserve"> </w:t>
      </w:r>
      <w:r w:rsidRPr="00FE6B64">
        <w:rPr>
          <w:rFonts w:ascii="Avenir Heavy" w:hAnsi="Avenir Heavy" w:cs="Arial"/>
          <w:sz w:val="28"/>
          <w:szCs w:val="28"/>
        </w:rPr>
        <w:t>Identity</w:t>
      </w:r>
      <w:r w:rsidR="007C4AD6" w:rsidRPr="00FE6B64">
        <w:rPr>
          <w:rFonts w:ascii="Avenir Heavy" w:hAnsi="Avenir Heavy" w:cs="Arial"/>
          <w:sz w:val="28"/>
          <w:szCs w:val="28"/>
        </w:rPr>
        <w:t xml:space="preserve">: </w:t>
      </w:r>
    </w:p>
    <w:p w14:paraId="3B0B014C" w14:textId="50902015" w:rsidR="00BA056F" w:rsidRDefault="007C4AD6">
      <w:pPr>
        <w:rPr>
          <w:rFonts w:ascii="Avenir Heavy" w:hAnsi="Avenir Heavy" w:cs="Arial"/>
          <w:sz w:val="28"/>
          <w:szCs w:val="28"/>
        </w:rPr>
      </w:pPr>
      <w:r w:rsidRPr="00FE6B64">
        <w:rPr>
          <w:rFonts w:ascii="Avenir Heavy" w:hAnsi="Avenir Heavy" w:cs="Arial"/>
          <w:sz w:val="28"/>
          <w:szCs w:val="28"/>
        </w:rPr>
        <w:t xml:space="preserve">A </w:t>
      </w:r>
      <w:r w:rsidR="00907D47" w:rsidRPr="00FE6B64">
        <w:rPr>
          <w:rFonts w:ascii="Avenir Heavy" w:hAnsi="Avenir Heavy" w:cs="Arial"/>
          <w:sz w:val="28"/>
          <w:szCs w:val="28"/>
        </w:rPr>
        <w:t xml:space="preserve">Framework and </w:t>
      </w:r>
      <w:r w:rsidRPr="00FE6B64">
        <w:rPr>
          <w:rFonts w:ascii="Avenir Heavy" w:hAnsi="Avenir Heavy" w:cs="Arial"/>
          <w:sz w:val="28"/>
          <w:szCs w:val="28"/>
        </w:rPr>
        <w:t>Literature Review</w:t>
      </w:r>
      <w:r w:rsidR="00051877">
        <w:rPr>
          <w:rStyle w:val="FootnoteReference"/>
          <w:rFonts w:ascii="Avenir Heavy" w:hAnsi="Avenir Heavy" w:cs="Arial"/>
          <w:sz w:val="28"/>
          <w:szCs w:val="28"/>
        </w:rPr>
        <w:footnoteReference w:id="2"/>
      </w:r>
    </w:p>
    <w:p w14:paraId="2BC69628" w14:textId="77777777" w:rsidR="00E87D2A" w:rsidRPr="00DB26DE" w:rsidRDefault="00E87D2A">
      <w:pPr>
        <w:rPr>
          <w:rFonts w:ascii="Avenir Heavy" w:hAnsi="Avenir Heavy" w:cs="Arial"/>
          <w:sz w:val="15"/>
          <w:szCs w:val="28"/>
        </w:rPr>
      </w:pPr>
    </w:p>
    <w:p w14:paraId="1B2ED736" w14:textId="004DEA82" w:rsidR="00BA056F" w:rsidRPr="000B3980" w:rsidRDefault="00737478" w:rsidP="00BA056F">
      <w:pPr>
        <w:rPr>
          <w:rFonts w:ascii="Avenir Book" w:hAnsi="Avenir Book" w:cs="Arial"/>
        </w:rPr>
      </w:pPr>
      <w:bookmarkStart w:id="0" w:name="_Toc386180187"/>
      <w:r>
        <w:rPr>
          <w:rFonts w:ascii="Avenir Book" w:hAnsi="Avenir Book" w:cs="Arial"/>
        </w:rPr>
        <w:t>July</w:t>
      </w:r>
      <w:r w:rsidR="00657F2D" w:rsidRPr="000B3980">
        <w:rPr>
          <w:rFonts w:ascii="Avenir Book" w:hAnsi="Avenir Book" w:cs="Arial"/>
        </w:rPr>
        <w:t xml:space="preserve"> 2018</w:t>
      </w:r>
    </w:p>
    <w:p w14:paraId="2CAEB8A5" w14:textId="77777777" w:rsidR="00657F2D" w:rsidRPr="00DB26DE" w:rsidRDefault="00657F2D" w:rsidP="00BA056F">
      <w:pPr>
        <w:pBdr>
          <w:bottom w:val="single" w:sz="6" w:space="1" w:color="auto"/>
        </w:pBdr>
        <w:rPr>
          <w:rFonts w:ascii="Avenir Book" w:hAnsi="Avenir Book" w:cs="Arial"/>
          <w:smallCaps/>
          <w:color w:val="FF0000"/>
          <w:sz w:val="20"/>
        </w:rPr>
      </w:pPr>
    </w:p>
    <w:p w14:paraId="470C5E8C" w14:textId="3FA77BFA" w:rsidR="000C462D" w:rsidRPr="00CB1D32" w:rsidRDefault="006E62F6" w:rsidP="00821EEC">
      <w:pPr>
        <w:pStyle w:val="Heading1"/>
        <w:spacing w:before="240" w:after="200"/>
        <w:contextualSpacing w:val="0"/>
        <w:jc w:val="both"/>
        <w:rPr>
          <w:rFonts w:ascii="Avenir Medium" w:hAnsi="Avenir Medium" w:cs="Arial"/>
          <w:bCs/>
          <w:smallCaps w:val="0"/>
          <w:color w:val="D3011D"/>
        </w:rPr>
      </w:pPr>
      <w:bookmarkStart w:id="1" w:name="_Toc386180188"/>
      <w:bookmarkStart w:id="2" w:name="_Ref386454023"/>
      <w:bookmarkStart w:id="3" w:name="_Ref386454108"/>
      <w:bookmarkEnd w:id="0"/>
      <w:r>
        <w:rPr>
          <w:rFonts w:ascii="Avenir Medium" w:hAnsi="Avenir Medium" w:cs="Arial"/>
          <w:bCs/>
          <w:smallCaps w:val="0"/>
          <w:color w:val="D3011D"/>
        </w:rPr>
        <w:t xml:space="preserve">Introduction and </w:t>
      </w:r>
      <w:r w:rsidR="00655EE2" w:rsidRPr="002E276A">
        <w:rPr>
          <w:rFonts w:ascii="Avenir Medium" w:hAnsi="Avenir Medium" w:cs="Arial"/>
          <w:bCs/>
          <w:smallCaps w:val="0"/>
          <w:color w:val="D3011D"/>
        </w:rPr>
        <w:t>Framing</w:t>
      </w:r>
      <w:bookmarkEnd w:id="1"/>
      <w:bookmarkEnd w:id="2"/>
      <w:bookmarkEnd w:id="3"/>
      <w:r w:rsidR="005A3672">
        <w:rPr>
          <w:rFonts w:ascii="Avenir Medium" w:hAnsi="Avenir Medium" w:cs="Arial"/>
          <w:bCs/>
          <w:smallCaps w:val="0"/>
          <w:color w:val="D3011D"/>
        </w:rPr>
        <w:t xml:space="preserve"> </w:t>
      </w:r>
    </w:p>
    <w:p w14:paraId="7D0D4268" w14:textId="35B95136" w:rsidR="005959A4" w:rsidRDefault="004D054E" w:rsidP="0073576A">
      <w:pPr>
        <w:spacing w:after="200" w:line="276" w:lineRule="auto"/>
        <w:jc w:val="both"/>
        <w:rPr>
          <w:rFonts w:ascii="Avenir Book" w:hAnsi="Avenir Book"/>
        </w:rPr>
      </w:pPr>
      <w:r>
        <w:rPr>
          <w:rFonts w:ascii="Avenir Book" w:hAnsi="Avenir Book"/>
        </w:rPr>
        <w:t>B</w:t>
      </w:r>
      <w:r w:rsidR="002C0434">
        <w:rPr>
          <w:rFonts w:ascii="Avenir Book" w:hAnsi="Avenir Book"/>
        </w:rPr>
        <w:t xml:space="preserve">oth </w:t>
      </w:r>
      <w:r w:rsidR="00626304">
        <w:rPr>
          <w:rFonts w:ascii="Avenir Book" w:hAnsi="Avenir Book"/>
        </w:rPr>
        <w:t xml:space="preserve">people with disabilities </w:t>
      </w:r>
      <w:r w:rsidR="00147E9E">
        <w:rPr>
          <w:rFonts w:ascii="Avenir Book" w:hAnsi="Avenir Book"/>
        </w:rPr>
        <w:t xml:space="preserve">and transgender people </w:t>
      </w:r>
      <w:r w:rsidR="00626304">
        <w:rPr>
          <w:rFonts w:ascii="Avenir Book" w:hAnsi="Avenir Book"/>
        </w:rPr>
        <w:t>experience disproportionately poor health outcomes</w:t>
      </w:r>
      <w:r w:rsidR="00EF67D2">
        <w:rPr>
          <w:rFonts w:ascii="Avenir Book" w:hAnsi="Avenir Book"/>
        </w:rPr>
        <w:t>.</w:t>
      </w:r>
      <w:bookmarkStart w:id="4" w:name="_Ref386443624"/>
      <w:r w:rsidR="005959A4">
        <w:rPr>
          <w:rStyle w:val="EndnoteReference"/>
          <w:rFonts w:ascii="Avenir Book" w:hAnsi="Avenir Book"/>
        </w:rPr>
        <w:endnoteReference w:id="1"/>
      </w:r>
      <w:bookmarkEnd w:id="4"/>
      <w:r w:rsidR="005959A4">
        <w:rPr>
          <w:rFonts w:ascii="Avenir Book" w:hAnsi="Avenir Book"/>
        </w:rPr>
        <w:t xml:space="preserve"> For example, research indicates that disable</w:t>
      </w:r>
      <w:bookmarkStart w:id="5" w:name="_GoBack"/>
      <w:bookmarkEnd w:id="5"/>
      <w:r w:rsidR="005959A4">
        <w:rPr>
          <w:rFonts w:ascii="Avenir Book" w:hAnsi="Avenir Book"/>
        </w:rPr>
        <w:t>d adults are four times more likely to report “fair” or “poor” health (40.3% v. 9.9% of adults without disabilities),</w:t>
      </w:r>
      <w:r w:rsidR="005959A4">
        <w:rPr>
          <w:rStyle w:val="EndnoteReference"/>
          <w:rFonts w:ascii="Avenir Book" w:hAnsi="Avenir Book"/>
        </w:rPr>
        <w:endnoteReference w:id="2"/>
      </w:r>
      <w:r w:rsidR="005959A4">
        <w:rPr>
          <w:rFonts w:ascii="Avenir Book" w:hAnsi="Avenir Book"/>
        </w:rPr>
        <w:t xml:space="preserve"> and they have increased risk for obesity </w:t>
      </w:r>
      <w:r w:rsidR="005959A4" w:rsidRPr="00CB7C30">
        <w:rPr>
          <w:rFonts w:ascii="Avenir Book" w:hAnsi="Avenir Book"/>
        </w:rPr>
        <w:t>(58% v. 38%), diabetes (1.91% v. 0.68%), and cardiovascular disease (12.0% v. 3.4%)</w:t>
      </w:r>
      <w:r w:rsidR="005959A4">
        <w:rPr>
          <w:rFonts w:ascii="Avenir Book" w:hAnsi="Avenir Book"/>
        </w:rPr>
        <w:t>.</w:t>
      </w:r>
      <w:r w:rsidR="005959A4">
        <w:rPr>
          <w:rStyle w:val="EndnoteReference"/>
          <w:rFonts w:ascii="Avenir Book" w:hAnsi="Avenir Book"/>
        </w:rPr>
        <w:endnoteReference w:id="3"/>
      </w:r>
      <w:r w:rsidR="005959A4">
        <w:rPr>
          <w:rFonts w:ascii="Avenir Book" w:hAnsi="Avenir Book"/>
        </w:rPr>
        <w:t xml:space="preserve"> Likewise, research shows that transgender people experience disproportionately high rates of “fair” or “poor” health (22%), and they are nearly eight times more likely to experience serious psychological distress (39% v. 5% of the U.S. population).</w:t>
      </w:r>
      <w:r w:rsidR="005959A4">
        <w:rPr>
          <w:rStyle w:val="EndnoteReference"/>
          <w:rFonts w:ascii="Avenir Book" w:hAnsi="Avenir Book"/>
        </w:rPr>
        <w:endnoteReference w:id="4"/>
      </w:r>
    </w:p>
    <w:p w14:paraId="7D01B12E" w14:textId="0A0B2B7E" w:rsidR="005959A4" w:rsidRDefault="005959A4" w:rsidP="0073576A">
      <w:pPr>
        <w:spacing w:after="200" w:line="276" w:lineRule="auto"/>
        <w:jc w:val="both"/>
        <w:rPr>
          <w:rFonts w:ascii="Avenir Book" w:hAnsi="Avenir Book"/>
        </w:rPr>
      </w:pPr>
      <w:r>
        <w:rPr>
          <w:rFonts w:ascii="Avenir Book" w:hAnsi="Avenir Book"/>
        </w:rPr>
        <w:t xml:space="preserve">While poignant and compelling data, a vast majority of the research in this area has focused on people with disabilities and transgender people as separate and distinct demographic groups, or it has viewed disability as a singular “health outcome” that a transgender person may experience (as opposed to a demographic characteristic tied to biases and discrimination). Rarely have researchers considered how, for people who identify as </w:t>
      </w:r>
      <w:r>
        <w:rPr>
          <w:rFonts w:ascii="Avenir Book" w:hAnsi="Avenir Book"/>
          <w:i/>
        </w:rPr>
        <w:t xml:space="preserve">both </w:t>
      </w:r>
      <w:r>
        <w:rPr>
          <w:rFonts w:ascii="Avenir Book" w:hAnsi="Avenir Book"/>
        </w:rPr>
        <w:t xml:space="preserve">disabled and transgender, socioeconomic barriers can compound and exacerbate disparities in health. Known as </w:t>
      </w:r>
      <w:r>
        <w:rPr>
          <w:rFonts w:ascii="Avenir Book" w:hAnsi="Avenir Book"/>
          <w:i/>
        </w:rPr>
        <w:t>intersectionality</w:t>
      </w:r>
      <w:r>
        <w:rPr>
          <w:rFonts w:ascii="Avenir Book" w:hAnsi="Avenir Book"/>
        </w:rPr>
        <w:t>, studying the complex barriers faced by people who have multiple, historically marginalized identities is critical to fully understanding and addressing inequities in health outcomes and access to care.</w:t>
      </w:r>
    </w:p>
    <w:p w14:paraId="3D8C0D60" w14:textId="13499238" w:rsidR="0042673D" w:rsidRPr="00CA7724" w:rsidRDefault="005959A4" w:rsidP="00CA7724">
      <w:pPr>
        <w:spacing w:after="200" w:line="276" w:lineRule="auto"/>
        <w:jc w:val="both"/>
        <w:rPr>
          <w:rFonts w:ascii="Avenir Book" w:hAnsi="Avenir Book"/>
        </w:rPr>
      </w:pPr>
      <w:r>
        <w:rPr>
          <w:rFonts w:ascii="Avenir Book" w:hAnsi="Avenir Book"/>
        </w:rPr>
        <w:t>This paper examines the known research on health disparities at the intersection of disability and gender identity. It begins with a demographic analysis of transgender people with disabilities, which summarizes the available data on the prevalence and types of disabilities among transgender people. It then examines the limited research on disparities in health outcomes among this intersectional group, and it presents data on some of the known determinants of these disparities, including health care access barriers and socioeconomic factors. To conclude, this paper makes recommendations on areas of future research.</w:t>
      </w:r>
      <w:bookmarkStart w:id="6" w:name="_Toc386180189"/>
      <w:bookmarkStart w:id="7" w:name="_Ref386454027"/>
    </w:p>
    <w:p w14:paraId="651DD5A1" w14:textId="1C5E2EF5" w:rsidR="005959A4" w:rsidRPr="00441426" w:rsidRDefault="005959A4" w:rsidP="0042673D">
      <w:pPr>
        <w:pStyle w:val="Heading1"/>
        <w:spacing w:after="200"/>
        <w:contextualSpacing w:val="0"/>
        <w:rPr>
          <w:rFonts w:ascii="Avenir Medium" w:hAnsi="Avenir Medium" w:cs="Arial"/>
          <w:bCs/>
          <w:smallCaps w:val="0"/>
          <w:color w:val="D3011D"/>
        </w:rPr>
      </w:pPr>
      <w:r w:rsidRPr="002E276A">
        <w:rPr>
          <w:rFonts w:ascii="Avenir Medium" w:hAnsi="Avenir Medium" w:cs="Arial"/>
          <w:bCs/>
          <w:smallCaps w:val="0"/>
          <w:color w:val="D3011D"/>
        </w:rPr>
        <w:lastRenderedPageBreak/>
        <w:t>Demographic Analysis of Transgender People with Disabilities</w:t>
      </w:r>
      <w:bookmarkEnd w:id="6"/>
      <w:bookmarkEnd w:id="7"/>
    </w:p>
    <w:p w14:paraId="29B2DF8D" w14:textId="262FD5FF" w:rsidR="005959A4" w:rsidRPr="006F58D7" w:rsidRDefault="005959A4" w:rsidP="0073576A">
      <w:pPr>
        <w:spacing w:after="200" w:line="276" w:lineRule="auto"/>
        <w:jc w:val="both"/>
        <w:rPr>
          <w:rFonts w:ascii="Avenir Book" w:hAnsi="Avenir Book" w:cs="Arial"/>
        </w:rPr>
      </w:pPr>
      <w:r w:rsidRPr="006F58D7">
        <w:rPr>
          <w:rFonts w:ascii="Avenir Book" w:hAnsi="Avenir Book" w:cs="Arial"/>
        </w:rPr>
        <w:t>A limited number of national, population-based studies provide data on the demographics of transgender individuals. Even fewer document the prevalence, extent, and types of disability among this population. The largest and most comprehensive survey to examine this topic was conducted in 2015 by the National Center for Transgender Equality (“NCTE”), with 27,715 transgender respondents nationwide.</w:t>
      </w:r>
      <w:bookmarkStart w:id="8" w:name="_Ref386189169"/>
      <w:r w:rsidRPr="006F58D7">
        <w:rPr>
          <w:rStyle w:val="EndnoteReference"/>
          <w:rFonts w:ascii="Avenir Book" w:hAnsi="Avenir Book" w:cs="Arial"/>
        </w:rPr>
        <w:endnoteReference w:id="5"/>
      </w:r>
      <w:bookmarkEnd w:id="8"/>
      <w:r w:rsidRPr="006F58D7">
        <w:rPr>
          <w:rFonts w:ascii="Avenir Book" w:hAnsi="Avenir Book" w:cs="Arial"/>
        </w:rPr>
        <w:t xml:space="preserve"> </w:t>
      </w:r>
      <w:r>
        <w:rPr>
          <w:rFonts w:ascii="Avenir Book" w:hAnsi="Avenir Book" w:cs="Arial"/>
        </w:rPr>
        <w:t xml:space="preserve">Prior to 2015, there was exceedingly little research in the field of disability and transgender intersectionality. In 2011, NCTE, in partnership with the </w:t>
      </w:r>
      <w:r w:rsidRPr="006F58D7">
        <w:rPr>
          <w:rFonts w:ascii="Avenir Book" w:hAnsi="Avenir Book" w:cs="Arial"/>
        </w:rPr>
        <w:t xml:space="preserve">National </w:t>
      </w:r>
      <w:r>
        <w:rPr>
          <w:rFonts w:ascii="Avenir Book" w:hAnsi="Avenir Book" w:cs="Arial"/>
        </w:rPr>
        <w:t>LGBTQ</w:t>
      </w:r>
      <w:r w:rsidRPr="006F58D7">
        <w:rPr>
          <w:rFonts w:ascii="Avenir Book" w:hAnsi="Avenir Book" w:cs="Arial"/>
        </w:rPr>
        <w:t xml:space="preserve"> Task</w:t>
      </w:r>
      <w:r>
        <w:rPr>
          <w:rFonts w:ascii="Avenir Book" w:hAnsi="Avenir Book" w:cs="Arial"/>
        </w:rPr>
        <w:t xml:space="preserve"> Force (“the Task Force”), </w:t>
      </w:r>
      <w:r w:rsidRPr="006F58D7">
        <w:rPr>
          <w:rFonts w:ascii="Avenir Book" w:hAnsi="Avenir Book" w:cs="Arial"/>
        </w:rPr>
        <w:t xml:space="preserve">conducted a more limited national </w:t>
      </w:r>
      <w:r>
        <w:rPr>
          <w:rFonts w:ascii="Avenir Book" w:hAnsi="Avenir Book" w:cs="Arial"/>
        </w:rPr>
        <w:t>transgender discrimination survey</w:t>
      </w:r>
      <w:bookmarkStart w:id="9" w:name="_Ref386190230"/>
      <w:r>
        <w:rPr>
          <w:rFonts w:ascii="Avenir Book" w:hAnsi="Avenir Book" w:cs="Arial"/>
        </w:rPr>
        <w:t>, which briefly touched upon the prevalence of disability.</w:t>
      </w:r>
      <w:r w:rsidRPr="006F58D7">
        <w:rPr>
          <w:rStyle w:val="EndnoteReference"/>
          <w:rFonts w:ascii="Avenir Book" w:hAnsi="Avenir Book" w:cs="Arial"/>
        </w:rPr>
        <w:endnoteReference w:id="6"/>
      </w:r>
      <w:bookmarkEnd w:id="9"/>
      <w:r w:rsidRPr="006F58D7">
        <w:rPr>
          <w:rFonts w:ascii="Avenir Book" w:hAnsi="Avenir Book" w:cs="Arial"/>
        </w:rPr>
        <w:t xml:space="preserve"> </w:t>
      </w:r>
      <w:r>
        <w:rPr>
          <w:rFonts w:ascii="Avenir Book" w:hAnsi="Avenir Book" w:cs="Arial"/>
        </w:rPr>
        <w:t>That same year</w:t>
      </w:r>
      <w:r w:rsidRPr="006F58D7">
        <w:rPr>
          <w:rFonts w:ascii="Avenir Book" w:hAnsi="Avenir Book" w:cs="Arial"/>
        </w:rPr>
        <w:t xml:space="preserve">, a few studies </w:t>
      </w:r>
      <w:r>
        <w:rPr>
          <w:rFonts w:ascii="Avenir Book" w:hAnsi="Avenir Book" w:cs="Arial"/>
        </w:rPr>
        <w:t>examined</w:t>
      </w:r>
      <w:r w:rsidRPr="006F58D7">
        <w:rPr>
          <w:rFonts w:ascii="Avenir Book" w:hAnsi="Avenir Book" w:cs="Arial"/>
        </w:rPr>
        <w:t xml:space="preserve"> disability status within the broader LGBT community,</w:t>
      </w:r>
      <w:bookmarkStart w:id="10" w:name="_Ref386279113"/>
      <w:r w:rsidRPr="006F58D7">
        <w:rPr>
          <w:rStyle w:val="EndnoteReference"/>
          <w:rFonts w:ascii="Avenir Book" w:hAnsi="Avenir Book" w:cs="Arial"/>
        </w:rPr>
        <w:endnoteReference w:id="7"/>
      </w:r>
      <w:bookmarkEnd w:id="10"/>
      <w:r w:rsidRPr="006F58D7">
        <w:rPr>
          <w:rFonts w:ascii="Avenir Book" w:hAnsi="Avenir Book" w:cs="Arial"/>
        </w:rPr>
        <w:t xml:space="preserve"> </w:t>
      </w:r>
      <w:r>
        <w:rPr>
          <w:rFonts w:ascii="Avenir Book" w:hAnsi="Avenir Book" w:cs="Arial"/>
        </w:rPr>
        <w:t>with some reports isolating the data related to transgender older adults</w:t>
      </w:r>
      <w:r w:rsidRPr="006F58D7">
        <w:rPr>
          <w:rFonts w:ascii="Avenir Book" w:hAnsi="Avenir Book" w:cs="Arial"/>
        </w:rPr>
        <w:t>.</w:t>
      </w:r>
      <w:bookmarkStart w:id="11" w:name="_Ref386193006"/>
      <w:r w:rsidRPr="006F58D7">
        <w:rPr>
          <w:rStyle w:val="EndnoteReference"/>
          <w:rFonts w:ascii="Avenir Book" w:hAnsi="Avenir Book" w:cs="Arial"/>
        </w:rPr>
        <w:endnoteReference w:id="8"/>
      </w:r>
      <w:bookmarkEnd w:id="11"/>
      <w:r>
        <w:rPr>
          <w:rFonts w:ascii="Avenir Book" w:hAnsi="Avenir Book" w:cs="Arial"/>
        </w:rPr>
        <w:t xml:space="preserve"> This </w:t>
      </w:r>
      <w:r w:rsidRPr="006F58D7">
        <w:rPr>
          <w:rFonts w:ascii="Avenir Book" w:hAnsi="Avenir Book" w:cs="Arial"/>
        </w:rPr>
        <w:t xml:space="preserve">Part summarizes the available </w:t>
      </w:r>
      <w:r>
        <w:rPr>
          <w:rFonts w:ascii="Avenir Book" w:hAnsi="Avenir Book" w:cs="Arial"/>
        </w:rPr>
        <w:t>data on the prevalence of disability among transgender individuals and the types of disability most common within this population.</w:t>
      </w:r>
    </w:p>
    <w:p w14:paraId="1B232D6D" w14:textId="4A1C9EF7" w:rsidR="005959A4" w:rsidRPr="00441426" w:rsidRDefault="005959A4" w:rsidP="00A4642A">
      <w:pPr>
        <w:pStyle w:val="Heading2"/>
        <w:spacing w:before="200" w:after="200"/>
        <w:contextualSpacing w:val="0"/>
        <w:jc w:val="both"/>
        <w:rPr>
          <w:rFonts w:ascii="Avenir Medium" w:hAnsi="Avenir Medium" w:cs="Arial"/>
          <w:i w:val="0"/>
          <w:color w:val="000000"/>
        </w:rPr>
      </w:pPr>
      <w:bookmarkStart w:id="12" w:name="_Toc386180190"/>
      <w:r>
        <w:rPr>
          <w:rFonts w:ascii="Avenir Medium" w:hAnsi="Avenir Medium" w:cs="Arial"/>
          <w:i w:val="0"/>
          <w:color w:val="000000"/>
        </w:rPr>
        <w:t>Disability Prevalence i</w:t>
      </w:r>
      <w:r w:rsidRPr="002E276A">
        <w:rPr>
          <w:rFonts w:ascii="Avenir Medium" w:hAnsi="Avenir Medium" w:cs="Arial"/>
          <w:i w:val="0"/>
          <w:color w:val="000000"/>
        </w:rPr>
        <w:t>n The Transgender Population</w:t>
      </w:r>
      <w:bookmarkEnd w:id="12"/>
    </w:p>
    <w:p w14:paraId="7F647E59" w14:textId="0AC63005" w:rsidR="005959A4" w:rsidRPr="006F58D7" w:rsidRDefault="005959A4" w:rsidP="0073576A">
      <w:pPr>
        <w:spacing w:after="200" w:line="276" w:lineRule="auto"/>
        <w:jc w:val="both"/>
        <w:rPr>
          <w:rFonts w:ascii="Avenir Book" w:hAnsi="Avenir Book" w:cs="Arial"/>
          <w:iCs/>
        </w:rPr>
      </w:pPr>
      <w:r>
        <w:rPr>
          <w:rFonts w:ascii="Avenir Book" w:hAnsi="Avenir Book" w:cs="Arial"/>
          <w:iCs/>
        </w:rPr>
        <w:t xml:space="preserve">Research has consistently shown the high prevalence of disability among transgender people. </w:t>
      </w:r>
      <w:r w:rsidRPr="006F58D7">
        <w:rPr>
          <w:rFonts w:ascii="Avenir Book" w:hAnsi="Avenir Book" w:cs="Arial"/>
          <w:iCs/>
        </w:rPr>
        <w:t xml:space="preserve">NCTE’s 2015 U.S. Transgender Survey reported that 39% of the nearly 28,000 </w:t>
      </w:r>
      <w:r>
        <w:rPr>
          <w:rFonts w:ascii="Avenir Book" w:hAnsi="Avenir Book" w:cs="Arial"/>
          <w:iCs/>
        </w:rPr>
        <w:t xml:space="preserve">transgender </w:t>
      </w:r>
      <w:r w:rsidRPr="006F58D7">
        <w:rPr>
          <w:rFonts w:ascii="Avenir Book" w:hAnsi="Avenir Book" w:cs="Arial"/>
          <w:iCs/>
        </w:rPr>
        <w:t xml:space="preserve">respondents had one or </w:t>
      </w:r>
      <w:r>
        <w:rPr>
          <w:rFonts w:ascii="Avenir Book" w:hAnsi="Avenir Book" w:cs="Arial"/>
          <w:iCs/>
        </w:rPr>
        <w:t>multiple</w:t>
      </w:r>
      <w:r w:rsidRPr="006F58D7">
        <w:rPr>
          <w:rFonts w:ascii="Avenir Book" w:hAnsi="Avenir Book" w:cs="Arial"/>
          <w:iCs/>
        </w:rPr>
        <w:t xml:space="preserve"> disabilit</w:t>
      </w:r>
      <w:r>
        <w:rPr>
          <w:rFonts w:ascii="Avenir Book" w:hAnsi="Avenir Book" w:cs="Arial"/>
          <w:iCs/>
        </w:rPr>
        <w:t>ies</w:t>
      </w:r>
      <w:r w:rsidRPr="006F58D7">
        <w:rPr>
          <w:rFonts w:ascii="Avenir Book" w:hAnsi="Avenir Book" w:cs="Arial"/>
          <w:iCs/>
        </w:rPr>
        <w:t>, as compared with 15% of the general population.</w:t>
      </w:r>
      <w:r w:rsidRPr="006F58D7">
        <w:rPr>
          <w:rStyle w:val="EndnoteReference"/>
          <w:rFonts w:ascii="Avenir Book" w:hAnsi="Avenir Book" w:cs="Arial"/>
          <w:iCs/>
        </w:rPr>
        <w:endnoteReference w:id="9"/>
      </w:r>
      <w:r w:rsidRPr="006F58D7">
        <w:rPr>
          <w:rFonts w:ascii="Avenir Book" w:hAnsi="Avenir Book" w:cs="Arial"/>
          <w:iCs/>
        </w:rPr>
        <w:t xml:space="preserve"> “Disability” for purposes of this study was </w:t>
      </w:r>
      <w:r>
        <w:rPr>
          <w:rFonts w:ascii="Avenir Book" w:hAnsi="Avenir Book" w:cs="Arial"/>
          <w:iCs/>
        </w:rPr>
        <w:t>defined in relation to</w:t>
      </w:r>
      <w:r w:rsidRPr="006F58D7">
        <w:rPr>
          <w:rFonts w:ascii="Avenir Book" w:hAnsi="Avenir Book" w:cs="Arial"/>
          <w:iCs/>
        </w:rPr>
        <w:t xml:space="preserve"> the re</w:t>
      </w:r>
      <w:r>
        <w:rPr>
          <w:rFonts w:ascii="Avenir Book" w:hAnsi="Avenir Book" w:cs="Arial"/>
          <w:iCs/>
        </w:rPr>
        <w:t xml:space="preserve">spondent’s functional abilities; specifically, individuals were asked whether they </w:t>
      </w:r>
      <w:r w:rsidRPr="006F58D7">
        <w:rPr>
          <w:rFonts w:ascii="Avenir Book" w:hAnsi="Avenir Book" w:cs="Arial"/>
          <w:iCs/>
        </w:rPr>
        <w:t>experienced “serious difficulty” in performing major life activities such as hearing, seeing, or walking.</w:t>
      </w:r>
      <w:r w:rsidRPr="006F58D7">
        <w:rPr>
          <w:rStyle w:val="EndnoteReference"/>
          <w:rFonts w:ascii="Avenir Book" w:hAnsi="Avenir Book" w:cs="Arial"/>
          <w:iCs/>
        </w:rPr>
        <w:endnoteReference w:id="10"/>
      </w:r>
      <w:r w:rsidRPr="006F58D7">
        <w:rPr>
          <w:rFonts w:ascii="Avenir Book" w:hAnsi="Avenir Book" w:cs="Arial"/>
          <w:iCs/>
        </w:rPr>
        <w:t xml:space="preserve"> Additionally, the 2015 survey found that 28% of respondents self-identified as “a person with a disability.”</w:t>
      </w:r>
      <w:r w:rsidRPr="006F58D7">
        <w:rPr>
          <w:rStyle w:val="EndnoteReference"/>
          <w:rFonts w:ascii="Avenir Book" w:hAnsi="Avenir Book" w:cs="Arial"/>
          <w:iCs/>
        </w:rPr>
        <w:endnoteReference w:id="11"/>
      </w:r>
      <w:r>
        <w:rPr>
          <w:rFonts w:ascii="Avenir Book" w:hAnsi="Avenir Book" w:cs="Arial"/>
          <w:iCs/>
        </w:rPr>
        <w:t xml:space="preserve"> NCTE and the Task Force’s </w:t>
      </w:r>
      <w:r w:rsidRPr="006F58D7">
        <w:rPr>
          <w:rFonts w:ascii="Avenir Book" w:hAnsi="Avenir Book" w:cs="Arial"/>
          <w:iCs/>
        </w:rPr>
        <w:t xml:space="preserve">2011 survey </w:t>
      </w:r>
      <w:r>
        <w:rPr>
          <w:rFonts w:ascii="Avenir Book" w:hAnsi="Avenir Book" w:cs="Arial"/>
          <w:iCs/>
        </w:rPr>
        <w:t xml:space="preserve">of </w:t>
      </w:r>
      <w:r w:rsidRPr="006F58D7">
        <w:rPr>
          <w:rFonts w:ascii="Avenir Book" w:hAnsi="Avenir Book" w:cs="Arial"/>
        </w:rPr>
        <w:t xml:space="preserve">6,450 transgender </w:t>
      </w:r>
      <w:r>
        <w:rPr>
          <w:rFonts w:ascii="Avenir Book" w:hAnsi="Avenir Book" w:cs="Arial"/>
        </w:rPr>
        <w:t xml:space="preserve">and gender non-conforming </w:t>
      </w:r>
      <w:r w:rsidRPr="006F58D7">
        <w:rPr>
          <w:rFonts w:ascii="Avenir Book" w:hAnsi="Avenir Book" w:cs="Arial"/>
        </w:rPr>
        <w:t>individuals</w:t>
      </w:r>
      <w:r w:rsidRPr="006F58D7">
        <w:rPr>
          <w:rFonts w:ascii="Avenir Book" w:hAnsi="Avenir Book" w:cs="Arial"/>
          <w:iCs/>
        </w:rPr>
        <w:t xml:space="preserve"> had similar results, with 30% of respondents reporting a physical disability or mental health condition.</w:t>
      </w:r>
      <w:r w:rsidRPr="006F58D7">
        <w:rPr>
          <w:rStyle w:val="EndnoteReference"/>
          <w:rFonts w:ascii="Avenir Book" w:hAnsi="Avenir Book" w:cs="Arial"/>
          <w:iCs/>
        </w:rPr>
        <w:endnoteReference w:id="12"/>
      </w:r>
      <w:r>
        <w:rPr>
          <w:rFonts w:ascii="Avenir Book" w:hAnsi="Avenir Book" w:cs="Arial"/>
          <w:iCs/>
        </w:rPr>
        <w:t xml:space="preserve"> Likewise, an Institute of Medicine (“IOM”)-reported survey of 272 transgender individuals found that 36% had a physical or mental disability.</w:t>
      </w:r>
      <w:r>
        <w:rPr>
          <w:rStyle w:val="EndnoteReference"/>
          <w:rFonts w:ascii="Avenir Book" w:hAnsi="Avenir Book" w:cs="Arial"/>
          <w:iCs/>
        </w:rPr>
        <w:endnoteReference w:id="13"/>
      </w:r>
      <w:r>
        <w:rPr>
          <w:rFonts w:ascii="Avenir Book" w:hAnsi="Avenir Book" w:cs="Arial"/>
          <w:iCs/>
        </w:rPr>
        <w:t xml:space="preserve"> </w:t>
      </w:r>
    </w:p>
    <w:p w14:paraId="373129EF" w14:textId="1AE5841E" w:rsidR="005959A4" w:rsidRPr="0073576A" w:rsidRDefault="005959A4" w:rsidP="0073576A">
      <w:pPr>
        <w:spacing w:after="200" w:line="276" w:lineRule="auto"/>
        <w:jc w:val="both"/>
        <w:rPr>
          <w:rFonts w:ascii="Avenir Book" w:hAnsi="Avenir Book" w:cs="Arial"/>
          <w:iCs/>
        </w:rPr>
      </w:pPr>
      <w:r w:rsidRPr="006F58D7">
        <w:rPr>
          <w:rFonts w:ascii="Avenir Book" w:hAnsi="Avenir Book" w:cs="Arial"/>
          <w:iCs/>
        </w:rPr>
        <w:t xml:space="preserve">Research indicates that disabilities </w:t>
      </w:r>
      <w:r>
        <w:rPr>
          <w:rFonts w:ascii="Avenir Book" w:hAnsi="Avenir Book" w:cs="Arial"/>
          <w:iCs/>
        </w:rPr>
        <w:t>among</w:t>
      </w:r>
      <w:r w:rsidRPr="006F58D7">
        <w:rPr>
          <w:rFonts w:ascii="Avenir Book" w:hAnsi="Avenir Book" w:cs="Arial"/>
          <w:iCs/>
        </w:rPr>
        <w:t xml:space="preserve"> transgender individuals </w:t>
      </w:r>
      <w:r>
        <w:rPr>
          <w:rFonts w:ascii="Avenir Book" w:hAnsi="Avenir Book" w:cs="Arial"/>
          <w:iCs/>
        </w:rPr>
        <w:t>vary with age</w:t>
      </w:r>
      <w:r w:rsidRPr="006F58D7">
        <w:rPr>
          <w:rFonts w:ascii="Avenir Book" w:hAnsi="Avenir Book" w:cs="Arial"/>
          <w:iCs/>
        </w:rPr>
        <w:t xml:space="preserve">. </w:t>
      </w:r>
      <w:r>
        <w:rPr>
          <w:rFonts w:ascii="Avenir Book" w:hAnsi="Avenir Book" w:cs="Arial"/>
          <w:iCs/>
        </w:rPr>
        <w:t>A</w:t>
      </w:r>
      <w:r w:rsidRPr="006F58D7">
        <w:rPr>
          <w:rFonts w:ascii="Avenir Book" w:hAnsi="Avenir Book" w:cs="Arial"/>
          <w:iCs/>
        </w:rPr>
        <w:t xml:space="preserve"> 2011 study funded by the National Institute of Health and </w:t>
      </w:r>
      <w:r>
        <w:rPr>
          <w:rFonts w:ascii="Avenir Book" w:hAnsi="Avenir Book" w:cs="Arial"/>
          <w:iCs/>
        </w:rPr>
        <w:t>the National Institute on Aging</w:t>
      </w:r>
      <w:r w:rsidRPr="006F58D7">
        <w:rPr>
          <w:rFonts w:ascii="Avenir Book" w:hAnsi="Avenir Book" w:cs="Arial"/>
          <w:iCs/>
        </w:rPr>
        <w:t xml:space="preserve"> found that 62% of transgender adul</w:t>
      </w:r>
      <w:r>
        <w:rPr>
          <w:rFonts w:ascii="Avenir Book" w:hAnsi="Avenir Book" w:cs="Arial"/>
          <w:iCs/>
        </w:rPr>
        <w:t>ts aged 50 and older have a physical, mental, or emotional disability.</w:t>
      </w:r>
      <w:r w:rsidRPr="006F58D7">
        <w:rPr>
          <w:rStyle w:val="EndnoteReference"/>
          <w:rFonts w:ascii="Avenir Book" w:hAnsi="Avenir Book" w:cs="Arial"/>
          <w:iCs/>
        </w:rPr>
        <w:endnoteReference w:id="14"/>
      </w:r>
      <w:r w:rsidRPr="006F58D7">
        <w:rPr>
          <w:rFonts w:ascii="Avenir Book" w:hAnsi="Avenir Book" w:cs="Arial"/>
          <w:iCs/>
        </w:rPr>
        <w:t xml:space="preserve"> </w:t>
      </w:r>
      <w:r>
        <w:rPr>
          <w:rFonts w:ascii="Avenir Book" w:hAnsi="Avenir Book" w:cs="Arial"/>
          <w:iCs/>
        </w:rPr>
        <w:t>In comparison, a survey of nearly 81,000 adolescents in Minnesota found that only 25.2% of transgender youth have “long-term physical disabilities or health problems,” but 59.3% have “long-term mental health problems.”</w:t>
      </w:r>
      <w:bookmarkStart w:id="13" w:name="_Ref386352140"/>
      <w:r>
        <w:rPr>
          <w:rStyle w:val="EndnoteReference"/>
          <w:rFonts w:ascii="Avenir Book" w:hAnsi="Avenir Book" w:cs="Arial"/>
          <w:iCs/>
        </w:rPr>
        <w:endnoteReference w:id="15"/>
      </w:r>
      <w:bookmarkEnd w:id="13"/>
      <w:r>
        <w:rPr>
          <w:rFonts w:ascii="Avenir Book" w:hAnsi="Avenir Book" w:cs="Arial"/>
          <w:iCs/>
        </w:rPr>
        <w:t xml:space="preserve"> </w:t>
      </w:r>
      <w:bookmarkStart w:id="14" w:name="_Toc386180191"/>
      <w:r>
        <w:rPr>
          <w:rFonts w:ascii="Avenir Book" w:hAnsi="Avenir Book" w:cs="Arial"/>
          <w:iCs/>
        </w:rPr>
        <w:t>The correlation between disability and age is not unique to transgender people; among the entire U.S. population, rates of physical disabilities are known to increase with age (age 18–44: 16.7%, age 45–64: 34.7%, age 65+: 60.7%)</w:t>
      </w:r>
      <w:r>
        <w:rPr>
          <w:rStyle w:val="EndnoteReference"/>
          <w:rFonts w:ascii="Avenir Book" w:hAnsi="Avenir Book" w:cs="Arial"/>
          <w:iCs/>
        </w:rPr>
        <w:endnoteReference w:id="16"/>
      </w:r>
      <w:r>
        <w:rPr>
          <w:rFonts w:ascii="Avenir Book" w:hAnsi="Avenir Book" w:cs="Arial"/>
          <w:iCs/>
        </w:rPr>
        <w:t xml:space="preserve"> and </w:t>
      </w:r>
      <w:r>
        <w:rPr>
          <w:rFonts w:ascii="Avenir Book" w:hAnsi="Avenir Book" w:cs="Arial"/>
          <w:iCs/>
        </w:rPr>
        <w:lastRenderedPageBreak/>
        <w:t xml:space="preserve">rates of mental disabilities are most common among young adults </w:t>
      </w:r>
      <w:r w:rsidRPr="00D7457A">
        <w:rPr>
          <w:rFonts w:ascii="Avenir Book" w:hAnsi="Avenir Book" w:cs="Arial"/>
          <w:iCs/>
        </w:rPr>
        <w:t>(age 18–25: 20.1%, age</w:t>
      </w:r>
      <w:r>
        <w:rPr>
          <w:rFonts w:ascii="Avenir Book" w:hAnsi="Avenir Book" w:cs="Arial"/>
          <w:iCs/>
        </w:rPr>
        <w:t xml:space="preserve"> 26–49: 20.4%, age 50+: 15.4%).</w:t>
      </w:r>
      <w:r>
        <w:rPr>
          <w:rStyle w:val="EndnoteReference"/>
          <w:rFonts w:ascii="Avenir Book" w:hAnsi="Avenir Book" w:cs="Arial"/>
          <w:iCs/>
        </w:rPr>
        <w:endnoteReference w:id="17"/>
      </w:r>
    </w:p>
    <w:p w14:paraId="018EA036" w14:textId="738B044E" w:rsidR="005959A4" w:rsidRPr="00441426" w:rsidRDefault="005959A4" w:rsidP="0073576A">
      <w:pPr>
        <w:pStyle w:val="Heading2"/>
        <w:spacing w:before="200" w:after="200"/>
        <w:contextualSpacing w:val="0"/>
        <w:jc w:val="both"/>
        <w:rPr>
          <w:rFonts w:ascii="Avenir Medium" w:hAnsi="Avenir Medium" w:cs="Arial"/>
          <w:i w:val="0"/>
          <w:color w:val="000000"/>
        </w:rPr>
      </w:pPr>
      <w:r w:rsidRPr="002E276A">
        <w:rPr>
          <w:rFonts w:ascii="Avenir Medium" w:hAnsi="Avenir Medium" w:cs="Arial"/>
          <w:i w:val="0"/>
          <w:color w:val="000000"/>
        </w:rPr>
        <w:t>Types of D</w:t>
      </w:r>
      <w:r>
        <w:rPr>
          <w:rFonts w:ascii="Avenir Medium" w:hAnsi="Avenir Medium" w:cs="Arial"/>
          <w:i w:val="0"/>
          <w:color w:val="000000"/>
        </w:rPr>
        <w:t>isabilities</w:t>
      </w:r>
      <w:r w:rsidRPr="002E276A">
        <w:rPr>
          <w:rFonts w:ascii="Avenir Medium" w:hAnsi="Avenir Medium" w:cs="Arial"/>
          <w:i w:val="0"/>
          <w:color w:val="000000"/>
        </w:rPr>
        <w:t xml:space="preserve"> Among Transgender People</w:t>
      </w:r>
      <w:bookmarkEnd w:id="14"/>
    </w:p>
    <w:p w14:paraId="58254230" w14:textId="77777777" w:rsidR="0073576A" w:rsidRDefault="005959A4" w:rsidP="0073576A">
      <w:pPr>
        <w:spacing w:after="200" w:line="276" w:lineRule="auto"/>
        <w:jc w:val="both"/>
        <w:rPr>
          <w:rFonts w:ascii="Avenir Book" w:hAnsi="Avenir Book" w:cs="Arial"/>
        </w:rPr>
      </w:pPr>
      <w:r>
        <w:rPr>
          <w:rFonts w:ascii="Avenir Book" w:hAnsi="Avenir Book" w:cs="Arial"/>
        </w:rPr>
        <w:t>The 2015 U.S. Transgender Survey is the first report to provide detailed data on the types of disabilities that transgender adults (age 18+) experience (Figure 1).</w:t>
      </w:r>
      <w:r>
        <w:rPr>
          <w:rStyle w:val="EndnoteReference"/>
          <w:rFonts w:ascii="Avenir Book" w:hAnsi="Avenir Book" w:cs="Arial"/>
        </w:rPr>
        <w:endnoteReference w:id="18"/>
      </w:r>
      <w:r>
        <w:rPr>
          <w:rFonts w:ascii="Avenir Book" w:hAnsi="Avenir Book" w:cs="Arial"/>
        </w:rPr>
        <w:t xml:space="preserve"> The survey found that rates of hearing (4%) and vision impairments (3%) are consistent with their prevalence in the U.S. population.</w:t>
      </w:r>
      <w:r>
        <w:rPr>
          <w:rStyle w:val="EndnoteReference"/>
          <w:rFonts w:ascii="Avenir Book" w:hAnsi="Avenir Book" w:cs="Arial"/>
        </w:rPr>
        <w:endnoteReference w:id="19"/>
      </w:r>
      <w:r>
        <w:rPr>
          <w:rFonts w:ascii="Avenir Book" w:hAnsi="Avenir Book" w:cs="Arial"/>
        </w:rPr>
        <w:t xml:space="preserve"> However, transgender individuals were </w:t>
      </w:r>
      <w:r w:rsidRPr="00B56BD9">
        <w:rPr>
          <w:rFonts w:ascii="Avenir Book" w:hAnsi="Avenir Book" w:cs="Arial"/>
          <w:i/>
        </w:rPr>
        <w:t>six times</w:t>
      </w:r>
      <w:r>
        <w:rPr>
          <w:rFonts w:ascii="Avenir Book" w:hAnsi="Avenir Book" w:cs="Arial"/>
        </w:rPr>
        <w:t xml:space="preserve"> more likely to have “serious difficulty concentrating, remembering, or making decisions because of a physical, mental, or emotional condition” (30% v. 5% in the U.S. population) and nearly </w:t>
      </w:r>
      <w:r w:rsidRPr="00B56BD9">
        <w:rPr>
          <w:rFonts w:ascii="Avenir Book" w:hAnsi="Avenir Book" w:cs="Arial"/>
          <w:i/>
        </w:rPr>
        <w:t>four times</w:t>
      </w:r>
      <w:r>
        <w:rPr>
          <w:rFonts w:ascii="Avenir Book" w:hAnsi="Avenir Book" w:cs="Arial"/>
        </w:rPr>
        <w:t xml:space="preserve"> more likely to have “difficulty doing errands alone, such as visiting a doctor’s office or shopping, because of a physical, mental, or emotional condition” (22% v. 6%).</w:t>
      </w:r>
      <w:r>
        <w:rPr>
          <w:rStyle w:val="EndnoteReference"/>
          <w:rFonts w:ascii="Avenir Book" w:hAnsi="Avenir Book" w:cs="Arial"/>
        </w:rPr>
        <w:endnoteReference w:id="20"/>
      </w:r>
      <w:r>
        <w:rPr>
          <w:rFonts w:ascii="Avenir Book" w:hAnsi="Avenir Book" w:cs="Arial"/>
        </w:rPr>
        <w:t xml:space="preserve"> </w:t>
      </w:r>
    </w:p>
    <w:p w14:paraId="19712A02" w14:textId="28691A2F" w:rsidR="005959A4" w:rsidRDefault="0073576A" w:rsidP="004041D7">
      <w:pPr>
        <w:spacing w:after="200"/>
        <w:jc w:val="both"/>
        <w:rPr>
          <w:rFonts w:ascii="Avenir Book" w:hAnsi="Avenir Book" w:cs="Arial"/>
        </w:rPr>
      </w:pPr>
      <w:r w:rsidRPr="00934157">
        <w:rPr>
          <w:rFonts w:ascii="Avenir Book" w:hAnsi="Avenir Book" w:cs="Arial"/>
          <w:noProof/>
        </w:rPr>
        <w:drawing>
          <wp:inline distT="0" distB="0" distL="0" distR="0" wp14:anchorId="56759151" wp14:editId="05F5995D">
            <wp:extent cx="6400800" cy="3310890"/>
            <wp:effectExtent l="0" t="0" r="12700" b="16510"/>
            <wp:docPr id="12" name="Chart 12" descr="4% of transgender respondents and 4% of the U.S. population were deaf or had serious difficulty hearing.&#10;&#10;4% of transgender respondents and 3% of the U.S. population were blind or had serious difficulty seeing even while wearing glasses.&#10;&#10;30% of transgender respondents and 5% of the U.S. population had serious difficulty concentrating, remembering, or making decision because of a physical, mental, or emotional condition.&#10;&#10;6% of transgender respondents and 8% of the U.S. population had serious difficulty walking or climbing stairs.&#10;&#10;3% of transgender respondents and 3% of the U.S. population had difficulty dressing or bathing.&#10;&#10;22% of transgender respondents and 6% of the U.S. population had difficulty doing errands alone because of a physical, mental, or emotional condition." title="Figure 1. Types of Disabilities Among Transgender Adult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29BAEF" w14:textId="03A22E19" w:rsidR="005959A4" w:rsidRPr="0073576A" w:rsidRDefault="005959A4" w:rsidP="0073576A">
      <w:pPr>
        <w:spacing w:after="200" w:line="276" w:lineRule="auto"/>
        <w:jc w:val="both"/>
        <w:rPr>
          <w:rFonts w:ascii="Avenir Book" w:hAnsi="Avenir Book" w:cs="Arial"/>
        </w:rPr>
      </w:pPr>
      <w:r>
        <w:rPr>
          <w:rFonts w:ascii="Avenir Book" w:hAnsi="Avenir Book" w:cs="Arial"/>
        </w:rPr>
        <w:t>Mental health disabilities are particularly prevalent among transgender individuals of all ages. For example, transgender adolescents report high rates of “long-term mental health problems” (59.3%), as compared with cisgender adolescents (17.4%).</w:t>
      </w:r>
      <w:r>
        <w:rPr>
          <w:rStyle w:val="EndnoteReference"/>
          <w:rFonts w:ascii="Avenir Book" w:hAnsi="Avenir Book" w:cs="Arial"/>
        </w:rPr>
        <w:endnoteReference w:id="21"/>
      </w:r>
      <w:r>
        <w:rPr>
          <w:rFonts w:ascii="Avenir Book" w:hAnsi="Avenir Book" w:cs="Arial"/>
        </w:rPr>
        <w:t xml:space="preserve"> Likewise, older transgender adults (age 50+) report high rates of clinical depression (48%) and anxiety (39%).</w:t>
      </w:r>
      <w:r>
        <w:rPr>
          <w:rStyle w:val="EndnoteReference"/>
          <w:rFonts w:ascii="Avenir Book" w:hAnsi="Avenir Book" w:cs="Arial"/>
        </w:rPr>
        <w:endnoteReference w:id="22"/>
      </w:r>
      <w:bookmarkStart w:id="15" w:name="_Ref386454039"/>
      <w:bookmarkStart w:id="16" w:name="_Toc386180192"/>
    </w:p>
    <w:p w14:paraId="6E7859DD" w14:textId="7B309ED0" w:rsidR="0042673D" w:rsidRPr="00CA7724" w:rsidRDefault="00457350" w:rsidP="00CA7724">
      <w:pPr>
        <w:rPr>
          <w:rFonts w:ascii="Avenir Medium" w:hAnsi="Avenir Medium" w:cs="Arial"/>
          <w:color w:val="D3011D"/>
        </w:rPr>
      </w:pPr>
      <w:r>
        <w:rPr>
          <w:rFonts w:ascii="Avenir Medium" w:hAnsi="Avenir Medium" w:cs="Arial"/>
          <w:smallCaps/>
          <w:color w:val="D3011D"/>
        </w:rPr>
        <w:br w:type="page"/>
      </w:r>
    </w:p>
    <w:p w14:paraId="20D3226C" w14:textId="750F79D0" w:rsidR="005959A4" w:rsidRDefault="005959A4" w:rsidP="0042673D">
      <w:pPr>
        <w:pStyle w:val="Heading1"/>
        <w:spacing w:after="200"/>
        <w:contextualSpacing w:val="0"/>
        <w:jc w:val="both"/>
        <w:rPr>
          <w:rFonts w:ascii="Avenir Medium" w:hAnsi="Avenir Medium" w:cs="Arial"/>
          <w:smallCaps w:val="0"/>
          <w:color w:val="D3011D"/>
        </w:rPr>
      </w:pPr>
      <w:r>
        <w:rPr>
          <w:rFonts w:ascii="Avenir Medium" w:hAnsi="Avenir Medium" w:cs="Arial"/>
          <w:smallCaps w:val="0"/>
          <w:color w:val="D3011D"/>
        </w:rPr>
        <w:lastRenderedPageBreak/>
        <w:t>Disparities in Health Outcomes</w:t>
      </w:r>
      <w:bookmarkEnd w:id="15"/>
    </w:p>
    <w:p w14:paraId="20FF25B4" w14:textId="33854953" w:rsidR="005959A4" w:rsidRDefault="005959A4" w:rsidP="0073576A">
      <w:pPr>
        <w:spacing w:after="200" w:line="276" w:lineRule="auto"/>
        <w:jc w:val="both"/>
        <w:rPr>
          <w:rFonts w:ascii="Avenir Book" w:hAnsi="Avenir Book"/>
        </w:rPr>
      </w:pPr>
      <w:r>
        <w:rPr>
          <w:rFonts w:ascii="Avenir Book" w:hAnsi="Avenir Book"/>
        </w:rPr>
        <w:t>As a group of people with at least two demographic characteristics tied to historical marginalization, transgender people with disabilities experience poor health. NCTE’s 2015 survey is the first report to provide an in-depth examination of the intersection of these dual identities and publish data on the substantial health disparities that impact this population.</w:t>
      </w:r>
      <w:r>
        <w:rPr>
          <w:rStyle w:val="EndnoteReference"/>
          <w:rFonts w:ascii="Avenir Book" w:hAnsi="Avenir Book"/>
        </w:rPr>
        <w:endnoteReference w:id="23"/>
      </w:r>
      <w:r>
        <w:rPr>
          <w:rFonts w:ascii="Avenir Book" w:hAnsi="Avenir Book"/>
        </w:rPr>
        <w:t xml:space="preserve"> Prior to 2015, most transgender research characterized disability as a “health outcome” and not a demographic characteristic, and thus there has been little research on the actual “health” of this intersectional group. This Part summarizes the limited data.</w:t>
      </w:r>
    </w:p>
    <w:p w14:paraId="18E027AB" w14:textId="13AF9089" w:rsidR="005959A4" w:rsidRDefault="005959A4" w:rsidP="0073576A">
      <w:pPr>
        <w:spacing w:after="200" w:line="276" w:lineRule="auto"/>
        <w:jc w:val="both"/>
        <w:rPr>
          <w:rFonts w:ascii="Avenir Book" w:hAnsi="Avenir Book"/>
        </w:rPr>
      </w:pPr>
      <w:r>
        <w:rPr>
          <w:rFonts w:ascii="Avenir Book" w:hAnsi="Avenir Book"/>
        </w:rPr>
        <w:t>The 2015 U.S. Transgender Survey found that transgender people with disabilities experience disproportionately poor mental health outcomes.</w:t>
      </w:r>
      <w:r>
        <w:rPr>
          <w:rStyle w:val="EndnoteReference"/>
          <w:rFonts w:ascii="Avenir Book" w:hAnsi="Avenir Book"/>
        </w:rPr>
        <w:endnoteReference w:id="24"/>
      </w:r>
      <w:r>
        <w:rPr>
          <w:rFonts w:ascii="Avenir Book" w:hAnsi="Avenir Book"/>
        </w:rPr>
        <w:t xml:space="preserve"> Transgender respondents with disabilities (59%) were nearly </w:t>
      </w:r>
      <w:r w:rsidRPr="00B56BD9">
        <w:rPr>
          <w:rFonts w:ascii="Avenir Book" w:hAnsi="Avenir Book"/>
          <w:i/>
        </w:rPr>
        <w:t>twice</w:t>
      </w:r>
      <w:r>
        <w:rPr>
          <w:rFonts w:ascii="Avenir Book" w:hAnsi="Avenir Book"/>
        </w:rPr>
        <w:t xml:space="preserve"> as likely to “currently experience psychological distress,” as compared to transgender respondents without disabilities (31%).</w:t>
      </w:r>
      <w:r>
        <w:rPr>
          <w:rStyle w:val="EndnoteReference"/>
          <w:rFonts w:ascii="Avenir Book" w:hAnsi="Avenir Book"/>
        </w:rPr>
        <w:endnoteReference w:id="25"/>
      </w:r>
      <w:r>
        <w:rPr>
          <w:rFonts w:ascii="Avenir Book" w:hAnsi="Avenir Book"/>
        </w:rPr>
        <w:t xml:space="preserve"> Psychological distress was measured by a widely accepted mental health screening, the Kessler Psychological Distress Scale.</w:t>
      </w:r>
      <w:r>
        <w:rPr>
          <w:rStyle w:val="EndnoteReference"/>
          <w:rFonts w:ascii="Avenir Book" w:hAnsi="Avenir Book"/>
        </w:rPr>
        <w:endnoteReference w:id="26"/>
      </w:r>
      <w:r>
        <w:rPr>
          <w:rFonts w:ascii="Avenir Book" w:hAnsi="Avenir Book"/>
        </w:rPr>
        <w:t xml:space="preserve"> Increased incidence of psychological distress among all respondents was correlated with unsupportive family networks, employment discrimination, physical violence, and sexual assault.</w:t>
      </w:r>
      <w:r>
        <w:rPr>
          <w:rStyle w:val="EndnoteReference"/>
          <w:rFonts w:ascii="Avenir Book" w:hAnsi="Avenir Book"/>
        </w:rPr>
        <w:endnoteReference w:id="27"/>
      </w:r>
    </w:p>
    <w:p w14:paraId="64983B8A" w14:textId="4C8C8681" w:rsidR="005959A4" w:rsidRDefault="005959A4" w:rsidP="0073576A">
      <w:pPr>
        <w:spacing w:after="200" w:line="276" w:lineRule="auto"/>
        <w:jc w:val="both"/>
        <w:rPr>
          <w:rFonts w:ascii="Avenir Book" w:hAnsi="Avenir Book"/>
        </w:rPr>
      </w:pPr>
      <w:r>
        <w:rPr>
          <w:rFonts w:ascii="Avenir Book" w:hAnsi="Avenir Book"/>
        </w:rPr>
        <w:t>Transgender people with disabilities are also substantially more likely to experience suicidal thoughts and behaviors.</w:t>
      </w:r>
      <w:r>
        <w:rPr>
          <w:rStyle w:val="EndnoteReference"/>
          <w:rFonts w:ascii="Avenir Book" w:hAnsi="Avenir Book"/>
        </w:rPr>
        <w:endnoteReference w:id="28"/>
      </w:r>
      <w:r>
        <w:rPr>
          <w:rFonts w:ascii="Avenir Book" w:hAnsi="Avenir Book"/>
        </w:rPr>
        <w:t xml:space="preserve"> Twelve percent (12%) of disabled respondents reported attempting suicide in the past year, as compared with 7% of all transgender respondents and 4% of the U.S. population.</w:t>
      </w:r>
      <w:r>
        <w:rPr>
          <w:rStyle w:val="EndnoteReference"/>
          <w:rFonts w:ascii="Avenir Book" w:hAnsi="Avenir Book"/>
        </w:rPr>
        <w:endnoteReference w:id="29"/>
      </w:r>
      <w:r>
        <w:rPr>
          <w:rFonts w:ascii="Avenir Book" w:hAnsi="Avenir Book"/>
        </w:rPr>
        <w:t xml:space="preserve"> Additionally, 54% of disabled respondents reported attempting suicide in their lifetime, as compared with 40% of all transgender respondents and 4.6% of the U.S. population.</w:t>
      </w:r>
      <w:r>
        <w:rPr>
          <w:rStyle w:val="EndnoteReference"/>
          <w:rFonts w:ascii="Avenir Book" w:hAnsi="Avenir Book"/>
        </w:rPr>
        <w:endnoteReference w:id="30"/>
      </w:r>
    </w:p>
    <w:p w14:paraId="7716CFD1" w14:textId="3FEBAF5E" w:rsidR="0073576A" w:rsidRPr="0073576A" w:rsidRDefault="005959A4" w:rsidP="0073576A">
      <w:pPr>
        <w:spacing w:after="200" w:line="276" w:lineRule="auto"/>
        <w:jc w:val="both"/>
        <w:rPr>
          <w:rFonts w:ascii="Avenir Book" w:hAnsi="Avenir Book" w:cs="Arial"/>
          <w:iCs/>
        </w:rPr>
      </w:pPr>
      <w:r w:rsidRPr="009E7A60">
        <w:rPr>
          <w:rFonts w:ascii="Avenir Book" w:hAnsi="Avenir Book" w:cs="Arial"/>
          <w:iCs/>
        </w:rPr>
        <w:t xml:space="preserve">The physical health outcomes of transgender people with disabilities remain largely unstudied. </w:t>
      </w:r>
      <w:r>
        <w:rPr>
          <w:rFonts w:ascii="Avenir Book" w:hAnsi="Avenir Book"/>
        </w:rPr>
        <w:t>While the 2015 survey collected data on the physical health of respondents</w:t>
      </w:r>
      <w:r w:rsidRPr="009E7A60">
        <w:rPr>
          <w:rFonts w:ascii="Avenir Book" w:hAnsi="Avenir Book"/>
        </w:rPr>
        <w:t>,</w:t>
      </w:r>
      <w:r>
        <w:rPr>
          <w:rFonts w:ascii="Avenir Book" w:hAnsi="Avenir Book"/>
        </w:rPr>
        <w:t xml:space="preserve"> this data has yet to be analyzed and </w:t>
      </w:r>
      <w:r w:rsidR="0073576A">
        <w:rPr>
          <w:rFonts w:ascii="Avenir Book" w:hAnsi="Avenir Book"/>
        </w:rPr>
        <w:t>publicly</w:t>
      </w:r>
      <w:r>
        <w:rPr>
          <w:rFonts w:ascii="Avenir Book" w:hAnsi="Avenir Book"/>
        </w:rPr>
        <w:t xml:space="preserve"> reported in the context of disability-transgender intersectionality</w:t>
      </w:r>
      <w:r w:rsidRPr="009E7A60">
        <w:rPr>
          <w:rFonts w:ascii="Avenir Book" w:hAnsi="Avenir Book"/>
        </w:rPr>
        <w:t>.</w:t>
      </w:r>
      <w:r>
        <w:rPr>
          <w:rStyle w:val="EndnoteReference"/>
          <w:rFonts w:ascii="Avenir Book" w:hAnsi="Avenir Book"/>
        </w:rPr>
        <w:endnoteReference w:id="31"/>
      </w:r>
      <w:bookmarkStart w:id="17" w:name="_Ref386454078"/>
      <w:bookmarkEnd w:id="16"/>
    </w:p>
    <w:p w14:paraId="6016E5A9" w14:textId="5CD8909C" w:rsidR="009E67EE" w:rsidRPr="00CA7724" w:rsidRDefault="00457350" w:rsidP="00CA7724">
      <w:pPr>
        <w:rPr>
          <w:rFonts w:ascii="Avenir Medium" w:hAnsi="Avenir Medium" w:cs="Arial"/>
          <w:color w:val="D3011D"/>
        </w:rPr>
      </w:pPr>
      <w:r>
        <w:rPr>
          <w:rFonts w:ascii="Avenir Medium" w:hAnsi="Avenir Medium" w:cs="Arial"/>
          <w:smallCaps/>
          <w:color w:val="D3011D"/>
        </w:rPr>
        <w:br w:type="page"/>
      </w:r>
    </w:p>
    <w:p w14:paraId="33EF0F3B" w14:textId="24F05281" w:rsidR="005959A4" w:rsidRDefault="005959A4" w:rsidP="009E67EE">
      <w:pPr>
        <w:pStyle w:val="Heading1"/>
        <w:spacing w:after="200"/>
        <w:contextualSpacing w:val="0"/>
        <w:jc w:val="both"/>
        <w:rPr>
          <w:rFonts w:ascii="Avenir Medium" w:hAnsi="Avenir Medium" w:cs="Arial"/>
          <w:smallCaps w:val="0"/>
          <w:color w:val="D3011D"/>
        </w:rPr>
      </w:pPr>
      <w:r>
        <w:rPr>
          <w:rFonts w:ascii="Avenir Medium" w:hAnsi="Avenir Medium" w:cs="Arial"/>
          <w:smallCaps w:val="0"/>
          <w:color w:val="D3011D"/>
        </w:rPr>
        <w:lastRenderedPageBreak/>
        <w:t>Determinants of Health</w:t>
      </w:r>
      <w:bookmarkEnd w:id="17"/>
    </w:p>
    <w:p w14:paraId="2E3E8DA3" w14:textId="36383FAF" w:rsidR="005959A4" w:rsidRPr="005A1C69" w:rsidRDefault="005959A4" w:rsidP="0073576A">
      <w:pPr>
        <w:spacing w:line="276" w:lineRule="auto"/>
        <w:jc w:val="both"/>
        <w:rPr>
          <w:rFonts w:ascii="Avenir Book" w:hAnsi="Avenir Book"/>
        </w:rPr>
      </w:pPr>
      <w:r>
        <w:rPr>
          <w:rFonts w:ascii="Avenir Book" w:hAnsi="Avenir Book"/>
        </w:rPr>
        <w:t>Socioeconomic factors can have a tangible impact on an individual’s health.</w:t>
      </w:r>
      <w:r>
        <w:rPr>
          <w:rStyle w:val="EndnoteReference"/>
          <w:rFonts w:ascii="Avenir Book" w:hAnsi="Avenir Book"/>
        </w:rPr>
        <w:endnoteReference w:id="32"/>
      </w:r>
      <w:r>
        <w:rPr>
          <w:rFonts w:ascii="Avenir Book" w:hAnsi="Avenir Book"/>
        </w:rPr>
        <w:t xml:space="preserve"> The linkages between negative health outcomes and health-specific barriers, such as lack of access to health insurance or a health care provider’s implicit biases or overt discrimination, are clear. Additionally, social determinants of health, such as economic stability, employment, housing, education, and social environment, while perhaps less intuitive, have been well established through previous research.</w:t>
      </w:r>
      <w:r>
        <w:rPr>
          <w:rStyle w:val="EndnoteReference"/>
          <w:rFonts w:ascii="Avenir Book" w:hAnsi="Avenir Book"/>
        </w:rPr>
        <w:endnoteReference w:id="33"/>
      </w:r>
      <w:r>
        <w:rPr>
          <w:rFonts w:ascii="Avenir Book" w:hAnsi="Avenir Book"/>
        </w:rPr>
        <w:t xml:space="preserve"> This Part examines the available data on the heightened socioeconomic and health-specific barriers that affect the health of transgender people with disabilities.</w:t>
      </w:r>
    </w:p>
    <w:p w14:paraId="30CC8048" w14:textId="77777777" w:rsidR="005959A4" w:rsidRPr="008D40CC" w:rsidRDefault="005959A4" w:rsidP="008D40CC"/>
    <w:p w14:paraId="1350B832" w14:textId="77777777" w:rsidR="005959A4" w:rsidRDefault="005959A4" w:rsidP="00633521">
      <w:pPr>
        <w:pStyle w:val="ListParagraph"/>
        <w:numPr>
          <w:ilvl w:val="0"/>
          <w:numId w:val="3"/>
        </w:numPr>
        <w:spacing w:after="200"/>
        <w:contextualSpacing w:val="0"/>
        <w:rPr>
          <w:rFonts w:ascii="Avenir Medium" w:hAnsi="Avenir Medium"/>
        </w:rPr>
      </w:pPr>
      <w:r w:rsidRPr="00C5115C">
        <w:rPr>
          <w:rFonts w:ascii="Avenir Medium" w:hAnsi="Avenir Medium"/>
        </w:rPr>
        <w:t>Health-Specific Barriers</w:t>
      </w:r>
    </w:p>
    <w:p w14:paraId="4BA65C3A" w14:textId="7B3D3229" w:rsidR="005959A4" w:rsidRDefault="005959A4" w:rsidP="0073576A">
      <w:pPr>
        <w:spacing w:after="200" w:line="276" w:lineRule="auto"/>
        <w:jc w:val="both"/>
        <w:rPr>
          <w:rFonts w:ascii="Avenir Book" w:hAnsi="Avenir Book"/>
        </w:rPr>
      </w:pPr>
      <w:r>
        <w:rPr>
          <w:rFonts w:ascii="Avenir Book" w:hAnsi="Avenir Book"/>
        </w:rPr>
        <w:t>Research has identified at least three health-specific barriers that transgender people with disabilities disproportionately face. First, transgender people with disabilities are more likely to have negative experiences with health care providers. According to the 2015 U.S. Transgender Survey, 42% of disabled respondents reported a negative experience when seeing a health care provider in the past year, as compared to 30% of transgender respondents without disabilities.</w:t>
      </w:r>
      <w:r>
        <w:rPr>
          <w:rStyle w:val="EndnoteReference"/>
          <w:rFonts w:ascii="Avenir Book" w:hAnsi="Avenir Book"/>
        </w:rPr>
        <w:endnoteReference w:id="34"/>
      </w:r>
      <w:r>
        <w:rPr>
          <w:rFonts w:ascii="Avenir Book" w:hAnsi="Avenir Book"/>
        </w:rPr>
        <w:t xml:space="preserve"> The most common negative experiences among all respondents were: needing to teach a provider about their identity before receiving appropriate care (24%), the provider asking unnecessary or invasive questions that were unrelated to the visit (15%), the provider refusing to give transition-related care (8%), and verbal harassment (6%).</w:t>
      </w:r>
      <w:r>
        <w:rPr>
          <w:rStyle w:val="EndnoteReference"/>
          <w:rFonts w:ascii="Avenir Book" w:hAnsi="Avenir Book"/>
        </w:rPr>
        <w:endnoteReference w:id="35"/>
      </w:r>
      <w:r>
        <w:rPr>
          <w:rFonts w:ascii="Avenir Book" w:hAnsi="Avenir Book"/>
        </w:rPr>
        <w:t xml:space="preserve"> Negative experiences with health care providers can discourage </w:t>
      </w:r>
      <w:r w:rsidRPr="00633521">
        <w:rPr>
          <w:rFonts w:ascii="Avenir Book" w:hAnsi="Avenir Book"/>
        </w:rPr>
        <w:t>individu</w:t>
      </w:r>
      <w:r>
        <w:rPr>
          <w:rFonts w:ascii="Avenir Book" w:hAnsi="Avenir Book"/>
        </w:rPr>
        <w:t xml:space="preserve">als from seeking necessary care and support, which in turn impacts physical and mental health. </w:t>
      </w:r>
    </w:p>
    <w:p w14:paraId="5E1E4F7F" w14:textId="50CAEDBF" w:rsidR="005959A4" w:rsidRDefault="005959A4" w:rsidP="0073576A">
      <w:pPr>
        <w:spacing w:after="200" w:line="276" w:lineRule="auto"/>
        <w:jc w:val="both"/>
        <w:rPr>
          <w:rFonts w:ascii="Avenir Book" w:hAnsi="Avenir Book"/>
        </w:rPr>
      </w:pPr>
      <w:r>
        <w:rPr>
          <w:rFonts w:ascii="Avenir Book" w:hAnsi="Avenir Book"/>
        </w:rPr>
        <w:t>Second, transgender people with disabilities are more likely to experience discrimination in the health care and social service setting. According to a secondary analysis of the 2011 U.S. Transgender Survey, disabled transgender individuals are significantly more likely to face discrimination when attempting to access mental health centers (17.3% v. 6.2% of transgender people without disabilities), drug treatment programs (4.7% v. 2.0%), rape crisis centers (7.8% v. 3.3%), and domestic violence shelters (9.9% v. 3.5%).</w:t>
      </w:r>
      <w:r>
        <w:rPr>
          <w:rStyle w:val="EndnoteReference"/>
          <w:rFonts w:ascii="Avenir Book" w:hAnsi="Avenir Book"/>
        </w:rPr>
        <w:endnoteReference w:id="36"/>
      </w:r>
      <w:r>
        <w:rPr>
          <w:rFonts w:ascii="Avenir Book" w:hAnsi="Avenir Book"/>
        </w:rPr>
        <w:t xml:space="preserve"> People with learning disabilities and/or multiple physical, learning, or socio-emotional disabilities were most likely to experience discrimination in these settings.</w:t>
      </w:r>
      <w:r>
        <w:rPr>
          <w:rStyle w:val="EndnoteReference"/>
          <w:rFonts w:ascii="Avenir Book" w:hAnsi="Avenir Book"/>
        </w:rPr>
        <w:endnoteReference w:id="37"/>
      </w:r>
      <w:r w:rsidRPr="00CF0E3E">
        <w:rPr>
          <w:rFonts w:ascii="Avenir Book" w:hAnsi="Avenir Book"/>
        </w:rPr>
        <w:t xml:space="preserve"> </w:t>
      </w:r>
      <w:r>
        <w:rPr>
          <w:rFonts w:ascii="Avenir Book" w:hAnsi="Avenir Book"/>
        </w:rPr>
        <w:t xml:space="preserve">Discrimination in health care and social services can impact the quality of care that an individual receives, and it can discourage individuals from seeking care or support services in the future, both of which have large impacts on health and safety. </w:t>
      </w:r>
    </w:p>
    <w:p w14:paraId="040F580C" w14:textId="18E323A9" w:rsidR="005959A4" w:rsidRPr="00E835CC" w:rsidRDefault="005959A4" w:rsidP="00496AE6">
      <w:pPr>
        <w:spacing w:after="200" w:line="276" w:lineRule="auto"/>
        <w:jc w:val="both"/>
        <w:rPr>
          <w:rFonts w:ascii="Avenir Book" w:hAnsi="Avenir Book"/>
        </w:rPr>
      </w:pPr>
      <w:r>
        <w:rPr>
          <w:rFonts w:ascii="Avenir Book" w:hAnsi="Avenir Book"/>
        </w:rPr>
        <w:lastRenderedPageBreak/>
        <w:t>Finally, transgender people with disabilities are more likely to experience cost-of-care barriers. The 2015 U.S. Transgender Survey found that 42% of disabled respondents did not see a doctor or health care provider when they needed to in the past year because of cost, as compared to 33% of all transgender respondents.</w:t>
      </w:r>
      <w:r>
        <w:rPr>
          <w:rStyle w:val="EndnoteReference"/>
          <w:rFonts w:ascii="Avenir Book" w:hAnsi="Avenir Book"/>
        </w:rPr>
        <w:endnoteReference w:id="38"/>
      </w:r>
      <w:r w:rsidRPr="00CF0E3E">
        <w:rPr>
          <w:rFonts w:ascii="Avenir Book" w:hAnsi="Avenir Book"/>
        </w:rPr>
        <w:t xml:space="preserve"> </w:t>
      </w:r>
      <w:r>
        <w:rPr>
          <w:rFonts w:ascii="Avenir Book" w:hAnsi="Avenir Book"/>
        </w:rPr>
        <w:t xml:space="preserve">Financial access barriers, including lack of access to health insurance and the inability to pay for services out-of-pocket, have </w:t>
      </w:r>
      <w:proofErr w:type="gramStart"/>
      <w:r>
        <w:rPr>
          <w:rFonts w:ascii="Avenir Book" w:hAnsi="Avenir Book"/>
        </w:rPr>
        <w:t>a well-established effects</w:t>
      </w:r>
      <w:proofErr w:type="gramEnd"/>
      <w:r>
        <w:rPr>
          <w:rFonts w:ascii="Avenir Book" w:hAnsi="Avenir Book"/>
        </w:rPr>
        <w:t xml:space="preserve"> on health care utilization, which in turn impacts physical and mental health outcomes.</w:t>
      </w:r>
    </w:p>
    <w:p w14:paraId="3A1E8E63" w14:textId="78BA9D41" w:rsidR="005959A4" w:rsidRPr="0063221E" w:rsidRDefault="005959A4" w:rsidP="00616C4D">
      <w:pPr>
        <w:pStyle w:val="Quote"/>
        <w:numPr>
          <w:ilvl w:val="0"/>
          <w:numId w:val="0"/>
        </w:numPr>
        <w:spacing w:after="200"/>
        <w:ind w:firstLine="720"/>
        <w:rPr>
          <w:rFonts w:ascii="Avenir Medium" w:hAnsi="Avenir Medium"/>
          <w:smallCaps w:val="0"/>
        </w:rPr>
      </w:pPr>
      <w:r w:rsidRPr="0063221E">
        <w:rPr>
          <w:rFonts w:ascii="Avenir Medium" w:hAnsi="Avenir Medium"/>
          <w:smallCaps w:val="0"/>
        </w:rPr>
        <w:t xml:space="preserve">B. </w:t>
      </w:r>
      <w:r w:rsidRPr="0063221E">
        <w:rPr>
          <w:rFonts w:ascii="Avenir Medium" w:hAnsi="Avenir Medium"/>
          <w:smallCaps w:val="0"/>
        </w:rPr>
        <w:tab/>
        <w:t>Social Determinants of Health</w:t>
      </w:r>
    </w:p>
    <w:p w14:paraId="2378D9DF" w14:textId="728341B4" w:rsidR="005959A4" w:rsidRDefault="005959A4" w:rsidP="0073576A">
      <w:pPr>
        <w:spacing w:after="200" w:line="276" w:lineRule="auto"/>
        <w:jc w:val="both"/>
        <w:rPr>
          <w:rFonts w:ascii="Avenir Book" w:hAnsi="Avenir Book"/>
        </w:rPr>
      </w:pPr>
      <w:r>
        <w:rPr>
          <w:rFonts w:ascii="Avenir Book" w:hAnsi="Avenir Book"/>
        </w:rPr>
        <w:t>The 2015 U.S. Transgender Survey is the first and only study to report on the social determinants of health among transgender people with disabilities. The relevant data can be organized into four major socioeconomic factors: economic stability and employment, housing, education, and social environment—each of which can impact and perpetuate health disparities.</w:t>
      </w:r>
    </w:p>
    <w:p w14:paraId="03E6DCE6" w14:textId="52409710" w:rsidR="005959A4" w:rsidRDefault="005959A4" w:rsidP="0073576A">
      <w:pPr>
        <w:spacing w:after="200" w:line="276" w:lineRule="auto"/>
        <w:jc w:val="both"/>
        <w:rPr>
          <w:rFonts w:ascii="Avenir Book" w:hAnsi="Avenir Book"/>
        </w:rPr>
      </w:pPr>
      <w:r>
        <w:rPr>
          <w:rFonts w:ascii="Avenir Book" w:hAnsi="Avenir Book"/>
        </w:rPr>
        <w:t>First, transgender people with disabilities experience heightened rates of economic instability. According to the 2015 survey, 45% of disabled respondents live in poverty, as compared to 29% of all transgender respondents and 12% of the U.S. population.</w:t>
      </w:r>
      <w:r>
        <w:rPr>
          <w:rStyle w:val="EndnoteReference"/>
          <w:rFonts w:ascii="Avenir Book" w:hAnsi="Avenir Book"/>
        </w:rPr>
        <w:endnoteReference w:id="39"/>
      </w:r>
      <w:r>
        <w:rPr>
          <w:rFonts w:ascii="Avenir Book" w:hAnsi="Avenir Book"/>
        </w:rPr>
        <w:t xml:space="preserve"> Disabled respondents were also nearly </w:t>
      </w:r>
      <w:r w:rsidRPr="00B56BD9">
        <w:rPr>
          <w:rFonts w:ascii="Avenir Book" w:hAnsi="Avenir Book"/>
          <w:i/>
        </w:rPr>
        <w:t>twice</w:t>
      </w:r>
      <w:r>
        <w:rPr>
          <w:rFonts w:ascii="Avenir Book" w:hAnsi="Avenir Book"/>
        </w:rPr>
        <w:t xml:space="preserve"> as likely to have incomes under $10,000 per year (21% v. 12% of all respondents) and to rely on public food assistance programs (29% v. 15%).</w:t>
      </w:r>
      <w:r>
        <w:rPr>
          <w:rStyle w:val="EndnoteReference"/>
          <w:rFonts w:ascii="Avenir Book" w:hAnsi="Avenir Book"/>
        </w:rPr>
        <w:endnoteReference w:id="40"/>
      </w:r>
      <w:r>
        <w:rPr>
          <w:rFonts w:ascii="Avenir Book" w:hAnsi="Avenir Book"/>
        </w:rPr>
        <w:t xml:space="preserve"> Moreover, disabled respondents were significantly more likely to be unemployed (24% v. 15%), to have lost a job at some point in their lives (59% v. 53%), to have had an adverse employment decision such as firing, failure to hire, or failure to promote in the past year (75% v. 67%), and to have quit a job in the past year to avoid workplace discrimination (21% v. 15%).</w:t>
      </w:r>
      <w:r>
        <w:rPr>
          <w:rStyle w:val="EndnoteReference"/>
          <w:rFonts w:ascii="Avenir Book" w:hAnsi="Avenir Book"/>
        </w:rPr>
        <w:endnoteReference w:id="41"/>
      </w:r>
      <w:r>
        <w:rPr>
          <w:rFonts w:ascii="Avenir Book" w:hAnsi="Avenir Book"/>
        </w:rPr>
        <w:t xml:space="preserve"> Economic instability, unemployment, and low-wage employment affect health by inhibiting access to health insurance and health care, exposing an individual to medical debt, and making unavailable settings where healthy behaviors and activities are promoted (e.g., safe neighborhoods and stable housing).</w:t>
      </w:r>
      <w:r>
        <w:rPr>
          <w:rStyle w:val="EndnoteReference"/>
          <w:rFonts w:ascii="Avenir Book" w:hAnsi="Avenir Book"/>
        </w:rPr>
        <w:endnoteReference w:id="42"/>
      </w:r>
    </w:p>
    <w:p w14:paraId="68CCDCF0" w14:textId="2107DD94" w:rsidR="005959A4" w:rsidRDefault="005959A4" w:rsidP="0073576A">
      <w:pPr>
        <w:spacing w:after="200" w:line="276" w:lineRule="auto"/>
        <w:jc w:val="both"/>
        <w:rPr>
          <w:rFonts w:ascii="Avenir Book" w:hAnsi="Avenir Book"/>
        </w:rPr>
      </w:pPr>
      <w:r>
        <w:rPr>
          <w:rFonts w:ascii="Avenir Book" w:hAnsi="Avenir Book"/>
        </w:rPr>
        <w:t>Second, transgender people with disabilities experience disproportionate rates of housing instability. The 2015 survey found that disabled respondents (8%) were more likely to have been evicted from housing because of anti-transgender biases, as compared to respondents without disabilities (5%).</w:t>
      </w:r>
      <w:r>
        <w:rPr>
          <w:rStyle w:val="EndnoteReference"/>
          <w:rFonts w:ascii="Avenir Book" w:hAnsi="Avenir Book"/>
        </w:rPr>
        <w:endnoteReference w:id="43"/>
      </w:r>
      <w:r>
        <w:rPr>
          <w:rFonts w:ascii="Avenir Book" w:hAnsi="Avenir Book"/>
        </w:rPr>
        <w:t xml:space="preserve"> Housing instability affects health because it determines the physical environment where a person dwells, which can have clear impacts on the safety, health, and economic stability of the individual.</w:t>
      </w:r>
      <w:r>
        <w:rPr>
          <w:rStyle w:val="EndnoteReference"/>
          <w:rFonts w:ascii="Avenir Book" w:hAnsi="Avenir Book"/>
        </w:rPr>
        <w:endnoteReference w:id="44"/>
      </w:r>
    </w:p>
    <w:p w14:paraId="705CD808" w14:textId="3FAB7BB5" w:rsidR="005959A4" w:rsidRDefault="005959A4" w:rsidP="0073576A">
      <w:pPr>
        <w:spacing w:after="200" w:line="276" w:lineRule="auto"/>
        <w:jc w:val="both"/>
        <w:rPr>
          <w:rFonts w:ascii="Avenir Book" w:hAnsi="Avenir Book"/>
        </w:rPr>
      </w:pPr>
      <w:r>
        <w:rPr>
          <w:rFonts w:ascii="Avenir Book" w:hAnsi="Avenir Book"/>
        </w:rPr>
        <w:lastRenderedPageBreak/>
        <w:t>Third, transgender people with disabilities are more likely to have negative educational experiences. NCTE’s 2015 survey found that 82% of disabled respondents have had a negative experience in primary school (K–12), as compared to 77% of all respondents.</w:t>
      </w:r>
      <w:r>
        <w:rPr>
          <w:rStyle w:val="EndnoteReference"/>
          <w:rFonts w:ascii="Avenir Book" w:hAnsi="Avenir Book"/>
        </w:rPr>
        <w:endnoteReference w:id="45"/>
      </w:r>
      <w:r>
        <w:rPr>
          <w:rFonts w:ascii="Avenir Book" w:hAnsi="Avenir Book"/>
        </w:rPr>
        <w:t xml:space="preserve"> The most common negative experiences among all respondents included: verbal harassment (54%), not being allowed to wear clothing associated with their gender identity (52%), being disciplined for fighting back against bullies (36%), and physical violence (24%).</w:t>
      </w:r>
      <w:r>
        <w:rPr>
          <w:rStyle w:val="EndnoteReference"/>
          <w:rFonts w:ascii="Avenir Book" w:hAnsi="Avenir Book"/>
        </w:rPr>
        <w:endnoteReference w:id="46"/>
      </w:r>
      <w:r>
        <w:rPr>
          <w:rFonts w:ascii="Avenir Book" w:hAnsi="Avenir Book"/>
        </w:rPr>
        <w:t xml:space="preserve"> Negative experiences in school impact health because they discourage educational attainment; and educational attainment can impact health knowledge and behaviors, employment opportunities and income, healthy social environments, and psychological wellbeing.</w:t>
      </w:r>
      <w:r>
        <w:rPr>
          <w:rStyle w:val="EndnoteReference"/>
          <w:rFonts w:ascii="Avenir Book" w:hAnsi="Avenir Book"/>
        </w:rPr>
        <w:endnoteReference w:id="47"/>
      </w:r>
      <w:r>
        <w:rPr>
          <w:rFonts w:ascii="Avenir Book" w:hAnsi="Avenir Book"/>
        </w:rPr>
        <w:t xml:space="preserve"> </w:t>
      </w:r>
    </w:p>
    <w:p w14:paraId="603272C9" w14:textId="35B2F93A" w:rsidR="005959A4" w:rsidRPr="00E3147D" w:rsidRDefault="005959A4" w:rsidP="0073576A">
      <w:pPr>
        <w:spacing w:after="200" w:line="276" w:lineRule="auto"/>
        <w:jc w:val="both"/>
        <w:rPr>
          <w:rFonts w:ascii="Avenir Book" w:hAnsi="Avenir Book"/>
        </w:rPr>
      </w:pPr>
      <w:r>
        <w:rPr>
          <w:rFonts w:ascii="Avenir Book" w:hAnsi="Avenir Book"/>
        </w:rPr>
        <w:t>Finally, transgender people with disabilities are more likely to have a poor social environment and experience negative community interactions and violence. According to the 2015 survey, disabled respondents were more likely to report unequal treatment, verbal harassment, and/or physical attack in the past year (69% v. 58% of all transgender respondents).</w:t>
      </w:r>
      <w:r>
        <w:rPr>
          <w:rStyle w:val="EndnoteReference"/>
          <w:rFonts w:ascii="Avenir Book" w:hAnsi="Avenir Book"/>
        </w:rPr>
        <w:endnoteReference w:id="48"/>
      </w:r>
      <w:r>
        <w:rPr>
          <w:rFonts w:ascii="Avenir Book" w:hAnsi="Avenir Book"/>
        </w:rPr>
        <w:t xml:space="preserve"> Specifically, disabled respondents were more likely to have these negative experiences in places of public accommodations (39% v. 31%), public assistance or government benefits offices (21% v. 17%), social security offices (16% v. 11%), and courts (19% v. 13%).</w:t>
      </w:r>
      <w:r>
        <w:rPr>
          <w:rStyle w:val="EndnoteReference"/>
          <w:rFonts w:ascii="Avenir Book" w:hAnsi="Avenir Book"/>
        </w:rPr>
        <w:endnoteReference w:id="49"/>
      </w:r>
      <w:r>
        <w:rPr>
          <w:rFonts w:ascii="Avenir Book" w:hAnsi="Avenir Book"/>
        </w:rPr>
        <w:t xml:space="preserve"> Additionally, disabled respondents were more likely to have experienced sexual assault (61% v. 47%), domestic violence (61% v. 54%), and police mistreatment (68% v. 58%).</w:t>
      </w:r>
      <w:r>
        <w:rPr>
          <w:rStyle w:val="EndnoteReference"/>
          <w:rFonts w:ascii="Avenir Book" w:hAnsi="Avenir Book"/>
        </w:rPr>
        <w:endnoteReference w:id="50"/>
      </w:r>
      <w:r>
        <w:rPr>
          <w:rFonts w:ascii="Avenir Book" w:hAnsi="Avenir Book"/>
        </w:rPr>
        <w:t xml:space="preserve"> The nature of one’s social environment, especially when it involves incidences of violence in the community or home, affects health because it determines physical safety, psychological and emotional health, and the availability of family and/or community support mechanisms.</w:t>
      </w:r>
      <w:r>
        <w:rPr>
          <w:rStyle w:val="EndnoteReference"/>
          <w:rFonts w:ascii="Avenir Book" w:hAnsi="Avenir Book"/>
        </w:rPr>
        <w:endnoteReference w:id="51"/>
      </w:r>
      <w:r>
        <w:rPr>
          <w:rFonts w:ascii="Avenir Book" w:hAnsi="Avenir Book"/>
        </w:rPr>
        <w:t xml:space="preserve"> </w:t>
      </w:r>
    </w:p>
    <w:p w14:paraId="0B5822BB" w14:textId="09249E46" w:rsidR="00526ACB" w:rsidRPr="00CA7724" w:rsidRDefault="00457350" w:rsidP="00CA7724">
      <w:pPr>
        <w:rPr>
          <w:rFonts w:ascii="Avenir Medium" w:hAnsi="Avenir Medium" w:cs="Arial"/>
          <w:color w:val="D3011D"/>
        </w:rPr>
      </w:pPr>
      <w:bookmarkStart w:id="18" w:name="_Toc386180194"/>
      <w:bookmarkStart w:id="19" w:name="_Ref386454095"/>
      <w:r>
        <w:rPr>
          <w:rFonts w:ascii="Avenir Medium" w:hAnsi="Avenir Medium" w:cs="Arial"/>
          <w:smallCaps/>
          <w:color w:val="D3011D"/>
        </w:rPr>
        <w:br w:type="page"/>
      </w:r>
    </w:p>
    <w:p w14:paraId="1FC2D43D" w14:textId="54CD86C1" w:rsidR="005959A4" w:rsidRPr="00B80B95" w:rsidRDefault="005959A4" w:rsidP="00526ACB">
      <w:pPr>
        <w:pStyle w:val="Heading1"/>
        <w:numPr>
          <w:ilvl w:val="0"/>
          <w:numId w:val="0"/>
        </w:numPr>
        <w:spacing w:after="200" w:line="276" w:lineRule="auto"/>
        <w:ind w:left="720" w:hanging="720"/>
        <w:contextualSpacing w:val="0"/>
        <w:jc w:val="both"/>
        <w:rPr>
          <w:rFonts w:ascii="Avenir Medium" w:hAnsi="Avenir Medium" w:cs="Arial"/>
          <w:smallCaps w:val="0"/>
          <w:color w:val="D3011D"/>
        </w:rPr>
      </w:pPr>
      <w:r>
        <w:rPr>
          <w:rFonts w:ascii="Avenir Medium" w:hAnsi="Avenir Medium" w:cs="Arial"/>
          <w:smallCaps w:val="0"/>
          <w:color w:val="D3011D"/>
        </w:rPr>
        <w:lastRenderedPageBreak/>
        <w:t>V.</w:t>
      </w:r>
      <w:r>
        <w:rPr>
          <w:rFonts w:ascii="Avenir Medium" w:hAnsi="Avenir Medium" w:cs="Arial"/>
          <w:smallCaps w:val="0"/>
          <w:color w:val="D3011D"/>
        </w:rPr>
        <w:tab/>
      </w:r>
      <w:bookmarkEnd w:id="18"/>
      <w:r>
        <w:rPr>
          <w:rFonts w:ascii="Avenir Medium" w:hAnsi="Avenir Medium" w:cs="Arial"/>
          <w:smallCaps w:val="0"/>
          <w:color w:val="D3011D"/>
        </w:rPr>
        <w:t>Conclusion and Future Research Recommendations</w:t>
      </w:r>
      <w:bookmarkEnd w:id="19"/>
    </w:p>
    <w:p w14:paraId="01AE8931" w14:textId="07E2C5F3" w:rsidR="005959A4" w:rsidRDefault="005959A4" w:rsidP="0073576A">
      <w:pPr>
        <w:spacing w:after="200" w:line="276" w:lineRule="auto"/>
        <w:jc w:val="both"/>
        <w:rPr>
          <w:rFonts w:ascii="Avenir Book" w:hAnsi="Avenir Book" w:cs="Arial"/>
          <w:color w:val="000000"/>
        </w:rPr>
      </w:pPr>
      <w:r>
        <w:rPr>
          <w:rFonts w:ascii="Avenir Book" w:hAnsi="Avenir Book" w:cs="Arial"/>
          <w:color w:val="000000"/>
        </w:rPr>
        <w:t>The limited research on health disparities for transgender people with disabilities reveals a clear trend: people with intersecting disabled and transgender identities generally face heightened socioeconomic and health-specific barriers and experience poorer health outcomes than people with only one of these identities. Disabled transgender people face significantly higher rates of poverty, discrimination, mistreatment by health care providers, psychological distress, and suicide.</w:t>
      </w:r>
      <w:r>
        <w:rPr>
          <w:rStyle w:val="EndnoteReference"/>
          <w:rFonts w:ascii="Avenir Book" w:hAnsi="Avenir Book" w:cs="Arial"/>
          <w:color w:val="000000"/>
        </w:rPr>
        <w:endnoteReference w:id="52"/>
      </w:r>
      <w:r>
        <w:rPr>
          <w:rFonts w:ascii="Avenir Book" w:hAnsi="Avenir Book" w:cs="Arial"/>
          <w:color w:val="000000"/>
        </w:rPr>
        <w:t xml:space="preserve"> These disturbing patterns are instructive; however, a considerable amount of work is still needed to fully understand these correlations and the reasons behind them. </w:t>
      </w:r>
    </w:p>
    <w:p w14:paraId="5D4C660E" w14:textId="7550CDCF" w:rsidR="00A3404F" w:rsidRDefault="005959A4" w:rsidP="0073576A">
      <w:pPr>
        <w:spacing w:after="200" w:line="276" w:lineRule="auto"/>
        <w:jc w:val="both"/>
        <w:rPr>
          <w:rFonts w:ascii="Avenir Book" w:hAnsi="Avenir Book" w:cs="Arial"/>
          <w:color w:val="000000"/>
        </w:rPr>
      </w:pPr>
      <w:r>
        <w:rPr>
          <w:rFonts w:ascii="Avenir Book" w:hAnsi="Avenir Book" w:cs="Arial"/>
          <w:color w:val="000000"/>
        </w:rPr>
        <w:t>Overall, there has been very little research on disability and gender identity intersectionality. Whether it is because of lack of funding, limitations on research priorities, or the historical (and still ongoing) characterization of disability as a “health outcome” rather than a demographic trait,</w:t>
      </w:r>
      <w:r>
        <w:rPr>
          <w:rStyle w:val="EndnoteReference"/>
          <w:rFonts w:ascii="Avenir Book" w:hAnsi="Avenir Book" w:cs="Arial"/>
          <w:color w:val="000000"/>
        </w:rPr>
        <w:endnoteReference w:id="53"/>
      </w:r>
      <w:r>
        <w:rPr>
          <w:rFonts w:ascii="Avenir Book" w:hAnsi="Avenir Book" w:cs="Arial"/>
          <w:color w:val="000000"/>
        </w:rPr>
        <w:t xml:space="preserve"> there is a dearth of data and research on this significantly overlapping group of individuals (39% of transgender people have a disability</w:t>
      </w:r>
      <w:r>
        <w:rPr>
          <w:rStyle w:val="EndnoteReference"/>
          <w:rFonts w:ascii="Avenir Book" w:hAnsi="Avenir Book" w:cs="Arial"/>
          <w:color w:val="000000"/>
        </w:rPr>
        <w:endnoteReference w:id="54"/>
      </w:r>
      <w:r>
        <w:rPr>
          <w:rFonts w:ascii="Avenir Book" w:hAnsi="Avenir Book" w:cs="Arial"/>
          <w:color w:val="000000"/>
        </w:rPr>
        <w:t>)</w:t>
      </w:r>
      <w:r w:rsidR="00CB5855">
        <w:rPr>
          <w:rFonts w:ascii="Avenir Book" w:hAnsi="Avenir Book" w:cs="Arial"/>
          <w:color w:val="000000"/>
        </w:rPr>
        <w:t xml:space="preserve">. </w:t>
      </w:r>
    </w:p>
    <w:p w14:paraId="3DA346EB" w14:textId="5F5801CF" w:rsidR="00EE6738" w:rsidRDefault="004F6A2F" w:rsidP="0073576A">
      <w:pPr>
        <w:spacing w:after="200" w:line="276" w:lineRule="auto"/>
        <w:jc w:val="both"/>
        <w:rPr>
          <w:rFonts w:ascii="Avenir Book" w:hAnsi="Avenir Book" w:cs="Arial"/>
          <w:color w:val="000000"/>
        </w:rPr>
      </w:pPr>
      <w:r>
        <w:rPr>
          <w:rFonts w:ascii="Avenir Book" w:hAnsi="Avenir Book" w:cs="Arial"/>
          <w:color w:val="000000"/>
        </w:rPr>
        <w:t xml:space="preserve">Future research is essential to understanding and </w:t>
      </w:r>
      <w:r w:rsidR="00565B88">
        <w:rPr>
          <w:rFonts w:ascii="Avenir Book" w:hAnsi="Avenir Book" w:cs="Arial"/>
          <w:color w:val="000000"/>
        </w:rPr>
        <w:t>taking steps to</w:t>
      </w:r>
      <w:r>
        <w:rPr>
          <w:rFonts w:ascii="Avenir Book" w:hAnsi="Avenir Book" w:cs="Arial"/>
          <w:color w:val="000000"/>
        </w:rPr>
        <w:t xml:space="preserve"> </w:t>
      </w:r>
      <w:r w:rsidR="00565B88">
        <w:rPr>
          <w:rFonts w:ascii="Avenir Book" w:hAnsi="Avenir Book" w:cs="Arial"/>
          <w:color w:val="000000"/>
        </w:rPr>
        <w:t>eliminate health inequities experienced by transgender people with disabilities.</w:t>
      </w:r>
      <w:r w:rsidR="00F439B8">
        <w:rPr>
          <w:rFonts w:ascii="Avenir Book" w:hAnsi="Avenir Book" w:cs="Arial"/>
          <w:color w:val="000000"/>
        </w:rPr>
        <w:t xml:space="preserve"> </w:t>
      </w:r>
      <w:r w:rsidR="00565B88">
        <w:rPr>
          <w:rFonts w:ascii="Avenir Book" w:hAnsi="Avenir Book" w:cs="Arial"/>
          <w:color w:val="000000"/>
        </w:rPr>
        <w:t xml:space="preserve">To that end, </w:t>
      </w:r>
      <w:r w:rsidR="0054661A">
        <w:rPr>
          <w:rFonts w:ascii="Avenir Book" w:hAnsi="Avenir Book" w:cs="Arial"/>
          <w:color w:val="000000"/>
        </w:rPr>
        <w:t xml:space="preserve">we </w:t>
      </w:r>
      <w:r w:rsidR="00E70737">
        <w:rPr>
          <w:rFonts w:ascii="Avenir Book" w:hAnsi="Avenir Book" w:cs="Arial"/>
          <w:color w:val="000000"/>
        </w:rPr>
        <w:t>strongly encourage</w:t>
      </w:r>
      <w:r w:rsidR="0054661A">
        <w:rPr>
          <w:rFonts w:ascii="Avenir Book" w:hAnsi="Avenir Book" w:cs="Arial"/>
          <w:color w:val="000000"/>
        </w:rPr>
        <w:t xml:space="preserve"> </w:t>
      </w:r>
      <w:r w:rsidR="006928DA">
        <w:rPr>
          <w:rFonts w:ascii="Avenir Book" w:hAnsi="Avenir Book" w:cs="Arial"/>
          <w:color w:val="000000"/>
        </w:rPr>
        <w:t xml:space="preserve">all </w:t>
      </w:r>
      <w:r w:rsidR="000D1100">
        <w:rPr>
          <w:rFonts w:ascii="Avenir Book" w:hAnsi="Avenir Book" w:cs="Arial"/>
          <w:color w:val="000000"/>
        </w:rPr>
        <w:t xml:space="preserve">relevant </w:t>
      </w:r>
      <w:r w:rsidR="006928DA">
        <w:rPr>
          <w:rFonts w:ascii="Avenir Book" w:hAnsi="Avenir Book" w:cs="Arial"/>
          <w:color w:val="000000"/>
        </w:rPr>
        <w:t xml:space="preserve">demographic </w:t>
      </w:r>
      <w:r w:rsidR="000D1100">
        <w:rPr>
          <w:rFonts w:ascii="Avenir Book" w:hAnsi="Avenir Book" w:cs="Arial"/>
          <w:color w:val="000000"/>
        </w:rPr>
        <w:t xml:space="preserve">and population </w:t>
      </w:r>
      <w:r w:rsidR="006928DA">
        <w:rPr>
          <w:rFonts w:ascii="Avenir Book" w:hAnsi="Avenir Book" w:cs="Arial"/>
          <w:color w:val="000000"/>
        </w:rPr>
        <w:t xml:space="preserve">surveys </w:t>
      </w:r>
      <w:r w:rsidR="00616A9A">
        <w:rPr>
          <w:rFonts w:ascii="Avenir Book" w:hAnsi="Avenir Book" w:cs="Arial"/>
          <w:color w:val="000000"/>
        </w:rPr>
        <w:t xml:space="preserve">(e.g., </w:t>
      </w:r>
      <w:r w:rsidR="00192A42">
        <w:rPr>
          <w:rFonts w:ascii="Avenir Book" w:hAnsi="Avenir Book" w:cs="Arial"/>
          <w:color w:val="000000"/>
        </w:rPr>
        <w:t xml:space="preserve">all </w:t>
      </w:r>
      <w:r w:rsidR="00C22132">
        <w:rPr>
          <w:rFonts w:ascii="Avenir Book" w:hAnsi="Avenir Book" w:cs="Arial"/>
          <w:color w:val="000000"/>
        </w:rPr>
        <w:t>U.S. Censu</w:t>
      </w:r>
      <w:r w:rsidR="00D0194A">
        <w:rPr>
          <w:rFonts w:ascii="Avenir Book" w:hAnsi="Avenir Book" w:cs="Arial"/>
          <w:color w:val="000000"/>
        </w:rPr>
        <w:t xml:space="preserve">s Bureau, federally-funded, </w:t>
      </w:r>
      <w:r w:rsidR="0016401D">
        <w:rPr>
          <w:rFonts w:ascii="Avenir Book" w:hAnsi="Avenir Book" w:cs="Arial"/>
          <w:color w:val="000000"/>
        </w:rPr>
        <w:t>and</w:t>
      </w:r>
      <w:r w:rsidR="00D0194A">
        <w:rPr>
          <w:rFonts w:ascii="Avenir Book" w:hAnsi="Avenir Book" w:cs="Arial"/>
          <w:color w:val="000000"/>
        </w:rPr>
        <w:t xml:space="preserve"> state-funded surveys) </w:t>
      </w:r>
      <w:r w:rsidR="00CA4B9A">
        <w:rPr>
          <w:rFonts w:ascii="Avenir Book" w:hAnsi="Avenir Book" w:cs="Arial"/>
          <w:color w:val="000000"/>
        </w:rPr>
        <w:t xml:space="preserve">to </w:t>
      </w:r>
      <w:r w:rsidR="006928DA">
        <w:rPr>
          <w:rFonts w:ascii="Avenir Book" w:hAnsi="Avenir Book" w:cs="Arial"/>
          <w:color w:val="000000"/>
        </w:rPr>
        <w:t xml:space="preserve">include </w:t>
      </w:r>
      <w:r w:rsidR="00E70737">
        <w:rPr>
          <w:rFonts w:ascii="Avenir Book" w:hAnsi="Avenir Book" w:cs="Arial"/>
          <w:color w:val="000000"/>
        </w:rPr>
        <w:t>both transgender and disability status as a data element</w:t>
      </w:r>
      <w:r w:rsidR="00A4655E">
        <w:rPr>
          <w:rFonts w:ascii="Avenir Book" w:hAnsi="Avenir Book" w:cs="Arial"/>
          <w:color w:val="000000"/>
        </w:rPr>
        <w:t xml:space="preserve">. </w:t>
      </w:r>
      <w:r w:rsidR="00CA4B9A">
        <w:rPr>
          <w:rFonts w:ascii="Avenir Book" w:hAnsi="Avenir Book" w:cs="Arial"/>
          <w:color w:val="000000"/>
        </w:rPr>
        <w:t>This</w:t>
      </w:r>
      <w:r w:rsidR="00B36957">
        <w:rPr>
          <w:rFonts w:ascii="Avenir Book" w:hAnsi="Avenir Book" w:cs="Arial"/>
          <w:color w:val="000000"/>
        </w:rPr>
        <w:t xml:space="preserve"> expanded collection of </w:t>
      </w:r>
      <w:r w:rsidR="00FC4DCC">
        <w:rPr>
          <w:rFonts w:ascii="Avenir Book" w:hAnsi="Avenir Book" w:cs="Arial"/>
          <w:color w:val="000000"/>
        </w:rPr>
        <w:t xml:space="preserve">data </w:t>
      </w:r>
      <w:r w:rsidR="00E5418E">
        <w:rPr>
          <w:rFonts w:ascii="Avenir Book" w:hAnsi="Avenir Book" w:cs="Arial"/>
          <w:color w:val="000000"/>
        </w:rPr>
        <w:t xml:space="preserve">will enable </w:t>
      </w:r>
      <w:r w:rsidR="00D0194A">
        <w:rPr>
          <w:rFonts w:ascii="Avenir Book" w:hAnsi="Avenir Book" w:cs="Arial"/>
          <w:color w:val="000000"/>
        </w:rPr>
        <w:t>secondary</w:t>
      </w:r>
      <w:r w:rsidR="00E5418E">
        <w:rPr>
          <w:rFonts w:ascii="Avenir Book" w:hAnsi="Avenir Book" w:cs="Arial"/>
          <w:color w:val="000000"/>
        </w:rPr>
        <w:t xml:space="preserve"> research</w:t>
      </w:r>
      <w:r w:rsidR="00F42DAA">
        <w:rPr>
          <w:rFonts w:ascii="Avenir Book" w:hAnsi="Avenir Book" w:cs="Arial"/>
          <w:color w:val="000000"/>
        </w:rPr>
        <w:t>,</w:t>
      </w:r>
      <w:r w:rsidR="00CA4B9A">
        <w:rPr>
          <w:rFonts w:ascii="Avenir Book" w:hAnsi="Avenir Book" w:cs="Arial"/>
          <w:color w:val="000000"/>
        </w:rPr>
        <w:t xml:space="preserve"> which will facilitate </w:t>
      </w:r>
      <w:r w:rsidR="003769F3">
        <w:rPr>
          <w:rFonts w:ascii="Avenir Book" w:hAnsi="Avenir Book" w:cs="Arial"/>
          <w:color w:val="000000"/>
        </w:rPr>
        <w:t xml:space="preserve">targeted advocacy to </w:t>
      </w:r>
      <w:r w:rsidR="004B6F09">
        <w:rPr>
          <w:rFonts w:ascii="Avenir Book" w:hAnsi="Avenir Book" w:cs="Arial"/>
          <w:color w:val="000000"/>
        </w:rPr>
        <w:t xml:space="preserve">reduce and </w:t>
      </w:r>
      <w:r w:rsidR="003769F3">
        <w:rPr>
          <w:rFonts w:ascii="Avenir Book" w:hAnsi="Avenir Book" w:cs="Arial"/>
          <w:color w:val="000000"/>
        </w:rPr>
        <w:t>eliminate health disparities for this heav</w:t>
      </w:r>
      <w:r w:rsidR="004B6F09">
        <w:rPr>
          <w:rFonts w:ascii="Avenir Book" w:hAnsi="Avenir Book" w:cs="Arial"/>
          <w:color w:val="000000"/>
        </w:rPr>
        <w:t>ily marginalized group</w:t>
      </w:r>
      <w:r w:rsidR="003769F3">
        <w:rPr>
          <w:rFonts w:ascii="Avenir Book" w:hAnsi="Avenir Book" w:cs="Arial"/>
          <w:color w:val="000000"/>
        </w:rPr>
        <w:t>.</w:t>
      </w:r>
    </w:p>
    <w:p w14:paraId="0A2D05BF" w14:textId="69DA7764" w:rsidR="00F439B8" w:rsidRDefault="00D0194A" w:rsidP="0073576A">
      <w:pPr>
        <w:spacing w:after="200" w:line="276" w:lineRule="auto"/>
        <w:jc w:val="both"/>
        <w:rPr>
          <w:rFonts w:ascii="Avenir Book" w:hAnsi="Avenir Book" w:cs="Arial"/>
          <w:color w:val="000000"/>
        </w:rPr>
      </w:pPr>
      <w:r>
        <w:rPr>
          <w:rFonts w:ascii="Avenir Book" w:hAnsi="Avenir Book" w:cs="Arial"/>
          <w:color w:val="000000"/>
        </w:rPr>
        <w:t xml:space="preserve">For purposes of future research, </w:t>
      </w:r>
      <w:r w:rsidR="00E22C2E">
        <w:rPr>
          <w:rFonts w:ascii="Avenir Book" w:hAnsi="Avenir Book" w:cs="Arial"/>
          <w:color w:val="000000"/>
        </w:rPr>
        <w:t>we recommend the following particularly</w:t>
      </w:r>
      <w:r w:rsidR="00F439B8">
        <w:rPr>
          <w:rFonts w:ascii="Avenir Book" w:hAnsi="Avenir Book" w:cs="Arial"/>
          <w:color w:val="000000"/>
        </w:rPr>
        <w:t xml:space="preserve"> critical </w:t>
      </w:r>
      <w:r w:rsidR="00294DDB">
        <w:rPr>
          <w:rFonts w:ascii="Avenir Book" w:hAnsi="Avenir Book" w:cs="Arial"/>
          <w:color w:val="000000"/>
        </w:rPr>
        <w:t xml:space="preserve">and </w:t>
      </w:r>
      <w:r w:rsidR="00E22C2E">
        <w:rPr>
          <w:rFonts w:ascii="Avenir Book" w:hAnsi="Avenir Book" w:cs="Arial"/>
          <w:color w:val="000000"/>
        </w:rPr>
        <w:t>understudied areas:</w:t>
      </w:r>
      <w:r w:rsidR="00F439B8">
        <w:rPr>
          <w:rFonts w:ascii="Avenir Book" w:hAnsi="Avenir Book" w:cs="Arial"/>
          <w:color w:val="000000"/>
        </w:rPr>
        <w:t xml:space="preserve"> </w:t>
      </w:r>
    </w:p>
    <w:p w14:paraId="53DF9480" w14:textId="7EA765E6" w:rsidR="009934EA" w:rsidRPr="0028021B" w:rsidRDefault="005E3E49" w:rsidP="00526ACB">
      <w:pPr>
        <w:pStyle w:val="ListParagraph"/>
        <w:numPr>
          <w:ilvl w:val="0"/>
          <w:numId w:val="6"/>
        </w:numPr>
        <w:tabs>
          <w:tab w:val="left" w:pos="450"/>
          <w:tab w:val="left" w:pos="810"/>
        </w:tabs>
        <w:spacing w:after="120" w:line="276" w:lineRule="auto"/>
        <w:ind w:left="547" w:hanging="547"/>
        <w:contextualSpacing w:val="0"/>
        <w:jc w:val="both"/>
        <w:rPr>
          <w:rFonts w:ascii="Avenir Medium" w:hAnsi="Avenir Medium" w:cs="Arial"/>
          <w:color w:val="000000"/>
        </w:rPr>
      </w:pPr>
      <w:r w:rsidRPr="0028021B">
        <w:rPr>
          <w:rFonts w:ascii="Avenir Medium" w:hAnsi="Avenir Medium" w:cs="Arial"/>
          <w:color w:val="000000"/>
        </w:rPr>
        <w:t>Health O</w:t>
      </w:r>
      <w:r w:rsidR="00294DDB" w:rsidRPr="0028021B">
        <w:rPr>
          <w:rFonts w:ascii="Avenir Medium" w:hAnsi="Avenir Medium" w:cs="Arial"/>
          <w:color w:val="000000"/>
        </w:rPr>
        <w:t xml:space="preserve">utcomes </w:t>
      </w:r>
      <w:r w:rsidR="00E40290" w:rsidRPr="0028021B">
        <w:rPr>
          <w:rFonts w:ascii="Avenir Medium" w:hAnsi="Avenir Medium" w:cs="Arial"/>
          <w:color w:val="000000"/>
        </w:rPr>
        <w:t xml:space="preserve">of </w:t>
      </w:r>
      <w:r w:rsidRPr="0028021B">
        <w:rPr>
          <w:rFonts w:ascii="Avenir Medium" w:hAnsi="Avenir Medium" w:cs="Arial"/>
          <w:iCs/>
        </w:rPr>
        <w:t>Transgender People with D</w:t>
      </w:r>
      <w:r w:rsidR="0062510F" w:rsidRPr="0028021B">
        <w:rPr>
          <w:rFonts w:ascii="Avenir Medium" w:hAnsi="Avenir Medium" w:cs="Arial"/>
          <w:iCs/>
        </w:rPr>
        <w:t>isabilities</w:t>
      </w:r>
    </w:p>
    <w:p w14:paraId="56F40771" w14:textId="067F8BA7" w:rsidR="00A3404F" w:rsidRPr="009934EA" w:rsidRDefault="009934EA"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iCs/>
        </w:rPr>
        <w:t>T</w:t>
      </w:r>
      <w:r w:rsidR="00FB4210">
        <w:rPr>
          <w:rFonts w:ascii="Avenir Book" w:hAnsi="Avenir Book" w:cs="Arial"/>
          <w:iCs/>
        </w:rPr>
        <w:t xml:space="preserve">he prevalence of </w:t>
      </w:r>
      <w:r w:rsidR="00A81ACC">
        <w:rPr>
          <w:rFonts w:ascii="Avenir Book" w:hAnsi="Avenir Book" w:cs="Arial"/>
          <w:iCs/>
        </w:rPr>
        <w:t>physical health outcomes</w:t>
      </w:r>
      <w:r w:rsidR="00FB4210">
        <w:rPr>
          <w:rFonts w:ascii="Avenir Book" w:hAnsi="Avenir Book" w:cs="Arial"/>
          <w:iCs/>
        </w:rPr>
        <w:t xml:space="preserve"> believed to be preventable</w:t>
      </w:r>
      <w:r w:rsidR="00CA0643">
        <w:rPr>
          <w:rFonts w:ascii="Avenir Book" w:hAnsi="Avenir Book" w:cs="Arial"/>
          <w:iCs/>
        </w:rPr>
        <w:t>,</w:t>
      </w:r>
      <w:r w:rsidR="00C770D7">
        <w:rPr>
          <w:rFonts w:ascii="Avenir Book" w:hAnsi="Avenir Book" w:cs="Arial"/>
          <w:iCs/>
        </w:rPr>
        <w:t xml:space="preserve"> </w:t>
      </w:r>
      <w:r w:rsidR="00FB4210">
        <w:rPr>
          <w:rFonts w:ascii="Avenir Book" w:hAnsi="Avenir Book" w:cs="Arial"/>
          <w:iCs/>
        </w:rPr>
        <w:t>such as</w:t>
      </w:r>
      <w:r w:rsidR="006F58ED">
        <w:rPr>
          <w:rFonts w:ascii="Avenir Book" w:hAnsi="Avenir Book" w:cs="Arial"/>
          <w:iCs/>
        </w:rPr>
        <w:t xml:space="preserve"> obesity, dia</w:t>
      </w:r>
      <w:r w:rsidR="00C770D7">
        <w:rPr>
          <w:rFonts w:ascii="Avenir Book" w:hAnsi="Avenir Book" w:cs="Arial"/>
          <w:iCs/>
        </w:rPr>
        <w:t xml:space="preserve">betes, </w:t>
      </w:r>
      <w:r w:rsidR="00FB4210">
        <w:rPr>
          <w:rFonts w:ascii="Avenir Book" w:hAnsi="Avenir Book" w:cs="Arial"/>
          <w:iCs/>
        </w:rPr>
        <w:t xml:space="preserve">and </w:t>
      </w:r>
      <w:r w:rsidR="00C770D7">
        <w:rPr>
          <w:rFonts w:ascii="Avenir Book" w:hAnsi="Avenir Book" w:cs="Arial"/>
          <w:iCs/>
        </w:rPr>
        <w:t>cardiovascular disease</w:t>
      </w:r>
      <w:r w:rsidR="00FC0251">
        <w:rPr>
          <w:rFonts w:ascii="Avenir Book" w:hAnsi="Avenir Book" w:cs="Arial"/>
          <w:iCs/>
        </w:rPr>
        <w:t xml:space="preserve">, and how </w:t>
      </w:r>
      <w:r w:rsidR="00685DBB">
        <w:rPr>
          <w:rFonts w:ascii="Avenir Book" w:hAnsi="Avenir Book" w:cs="Arial"/>
          <w:iCs/>
        </w:rPr>
        <w:t xml:space="preserve">compounding </w:t>
      </w:r>
      <w:r w:rsidR="00FC0251">
        <w:rPr>
          <w:rFonts w:ascii="Avenir Book" w:hAnsi="Avenir Book" w:cs="Arial"/>
          <w:iCs/>
        </w:rPr>
        <w:t xml:space="preserve">socioeconomic and health-specific </w:t>
      </w:r>
      <w:r w:rsidR="00143249">
        <w:rPr>
          <w:rFonts w:ascii="Avenir Book" w:hAnsi="Avenir Book" w:cs="Arial"/>
          <w:iCs/>
        </w:rPr>
        <w:t>barriers</w:t>
      </w:r>
      <w:r w:rsidR="00854DE7">
        <w:rPr>
          <w:rFonts w:ascii="Avenir Book" w:hAnsi="Avenir Book" w:cs="Arial"/>
          <w:iCs/>
        </w:rPr>
        <w:t xml:space="preserve"> </w:t>
      </w:r>
      <w:r w:rsidR="00740E29">
        <w:rPr>
          <w:rFonts w:ascii="Avenir Book" w:hAnsi="Avenir Book" w:cs="Arial"/>
          <w:iCs/>
        </w:rPr>
        <w:t xml:space="preserve">cause or </w:t>
      </w:r>
      <w:r w:rsidR="00C534ED">
        <w:rPr>
          <w:rFonts w:ascii="Avenir Book" w:hAnsi="Avenir Book" w:cs="Arial"/>
          <w:iCs/>
        </w:rPr>
        <w:t xml:space="preserve">impact these preventable outcomes. </w:t>
      </w:r>
    </w:p>
    <w:p w14:paraId="55800901" w14:textId="661D41AF" w:rsidR="009934EA" w:rsidRDefault="00CA0643"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iCs/>
        </w:rPr>
        <w:t xml:space="preserve">The </w:t>
      </w:r>
      <w:r w:rsidR="009934EA">
        <w:rPr>
          <w:rFonts w:ascii="Avenir Book" w:hAnsi="Avenir Book" w:cs="Arial"/>
          <w:iCs/>
        </w:rPr>
        <w:t xml:space="preserve">prevalence of </w:t>
      </w:r>
      <w:r w:rsidR="00740E29">
        <w:rPr>
          <w:rFonts w:ascii="Avenir Book" w:hAnsi="Avenir Book" w:cs="Arial"/>
          <w:iCs/>
        </w:rPr>
        <w:t xml:space="preserve">physical </w:t>
      </w:r>
      <w:r w:rsidR="00F96068">
        <w:rPr>
          <w:rFonts w:ascii="Avenir Book" w:hAnsi="Avenir Book" w:cs="Arial"/>
          <w:iCs/>
        </w:rPr>
        <w:t>health outcomes</w:t>
      </w:r>
      <w:r w:rsidR="009934EA">
        <w:rPr>
          <w:rFonts w:ascii="Avenir Book" w:hAnsi="Avenir Book" w:cs="Arial"/>
          <w:iCs/>
        </w:rPr>
        <w:t xml:space="preserve"> </w:t>
      </w:r>
      <w:r w:rsidR="00CE23BB">
        <w:rPr>
          <w:rFonts w:ascii="Avenir Book" w:hAnsi="Avenir Book" w:cs="Arial"/>
          <w:iCs/>
        </w:rPr>
        <w:t xml:space="preserve">that can be mitigated or cured </w:t>
      </w:r>
      <w:r w:rsidR="00F96068">
        <w:rPr>
          <w:rFonts w:ascii="Avenir Book" w:hAnsi="Avenir Book" w:cs="Arial"/>
          <w:iCs/>
        </w:rPr>
        <w:t>with early intervention</w:t>
      </w:r>
      <w:r w:rsidR="00740E29">
        <w:rPr>
          <w:rFonts w:ascii="Avenir Book" w:hAnsi="Avenir Book" w:cs="Arial"/>
          <w:iCs/>
        </w:rPr>
        <w:t xml:space="preserve"> and treatment</w:t>
      </w:r>
      <w:r w:rsidR="007F5DA3">
        <w:rPr>
          <w:rFonts w:ascii="Avenir Book" w:hAnsi="Avenir Book" w:cs="Arial"/>
          <w:iCs/>
        </w:rPr>
        <w:t>,</w:t>
      </w:r>
      <w:r w:rsidR="00F96068">
        <w:rPr>
          <w:rFonts w:ascii="Avenir Book" w:hAnsi="Avenir Book" w:cs="Arial"/>
          <w:iCs/>
        </w:rPr>
        <w:t xml:space="preserve"> such as breast or cervical cancer</w:t>
      </w:r>
      <w:r w:rsidR="00740E29">
        <w:rPr>
          <w:rFonts w:ascii="Avenir Book" w:hAnsi="Avenir Book" w:cs="Arial"/>
          <w:iCs/>
        </w:rPr>
        <w:t xml:space="preserve">, and how </w:t>
      </w:r>
      <w:r w:rsidR="00685DBB">
        <w:rPr>
          <w:rFonts w:ascii="Avenir Book" w:hAnsi="Avenir Book" w:cs="Arial"/>
          <w:iCs/>
        </w:rPr>
        <w:t xml:space="preserve">compounded </w:t>
      </w:r>
      <w:r w:rsidR="00740E29">
        <w:rPr>
          <w:rFonts w:ascii="Avenir Book" w:hAnsi="Avenir Book" w:cs="Arial"/>
          <w:iCs/>
        </w:rPr>
        <w:t>socioeconomic and health-specific barriers impact these outcomes.</w:t>
      </w:r>
    </w:p>
    <w:p w14:paraId="23960E27" w14:textId="07979F81" w:rsidR="00040980" w:rsidRPr="00EF0195" w:rsidRDefault="00B21D90"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iCs/>
        </w:rPr>
        <w:t xml:space="preserve">The prevalence </w:t>
      </w:r>
      <w:r w:rsidR="00C0047A">
        <w:rPr>
          <w:rFonts w:ascii="Avenir Book" w:hAnsi="Avenir Book" w:cs="Arial"/>
          <w:iCs/>
        </w:rPr>
        <w:t xml:space="preserve">and types of </w:t>
      </w:r>
      <w:r>
        <w:rPr>
          <w:rFonts w:ascii="Avenir Book" w:hAnsi="Avenir Book" w:cs="Arial"/>
          <w:iCs/>
        </w:rPr>
        <w:t xml:space="preserve">mental health </w:t>
      </w:r>
      <w:r w:rsidR="00C0047A">
        <w:rPr>
          <w:rFonts w:ascii="Avenir Book" w:hAnsi="Avenir Book" w:cs="Arial"/>
          <w:iCs/>
        </w:rPr>
        <w:t>outcomes</w:t>
      </w:r>
      <w:r>
        <w:rPr>
          <w:rFonts w:ascii="Avenir Book" w:hAnsi="Avenir Book" w:cs="Arial"/>
          <w:iCs/>
        </w:rPr>
        <w:t xml:space="preserve"> among</w:t>
      </w:r>
      <w:r w:rsidR="0031422B">
        <w:rPr>
          <w:rFonts w:ascii="Avenir Book" w:hAnsi="Avenir Book" w:cs="Arial"/>
          <w:iCs/>
        </w:rPr>
        <w:t xml:space="preserve"> transgender </w:t>
      </w:r>
      <w:r w:rsidR="00685DBB">
        <w:rPr>
          <w:rFonts w:ascii="Avenir Book" w:hAnsi="Avenir Book" w:cs="Arial"/>
          <w:iCs/>
        </w:rPr>
        <w:t xml:space="preserve">adults and </w:t>
      </w:r>
      <w:r w:rsidR="00291A19">
        <w:rPr>
          <w:rFonts w:ascii="Avenir Book" w:hAnsi="Avenir Book" w:cs="Arial"/>
          <w:iCs/>
        </w:rPr>
        <w:t xml:space="preserve">transgender </w:t>
      </w:r>
      <w:r w:rsidR="0031422B">
        <w:rPr>
          <w:rFonts w:ascii="Avenir Book" w:hAnsi="Avenir Book" w:cs="Arial"/>
          <w:iCs/>
        </w:rPr>
        <w:t>youth</w:t>
      </w:r>
      <w:r w:rsidR="00685DBB">
        <w:rPr>
          <w:rFonts w:ascii="Avenir Book" w:hAnsi="Avenir Book" w:cs="Arial"/>
          <w:iCs/>
        </w:rPr>
        <w:t xml:space="preserve"> and </w:t>
      </w:r>
      <w:r w:rsidR="00291A19">
        <w:rPr>
          <w:rFonts w:ascii="Avenir Book" w:hAnsi="Avenir Book" w:cs="Arial"/>
          <w:iCs/>
        </w:rPr>
        <w:t xml:space="preserve">how compounded socioeconomic and health-specific barriers </w:t>
      </w:r>
      <w:r w:rsidR="002C753A">
        <w:rPr>
          <w:rFonts w:ascii="Avenir Book" w:hAnsi="Avenir Book" w:cs="Arial"/>
          <w:iCs/>
        </w:rPr>
        <w:t xml:space="preserve">cause or </w:t>
      </w:r>
      <w:r w:rsidR="00291A19">
        <w:rPr>
          <w:rFonts w:ascii="Avenir Book" w:hAnsi="Avenir Book" w:cs="Arial"/>
          <w:iCs/>
        </w:rPr>
        <w:t>impact these outcomes.</w:t>
      </w:r>
    </w:p>
    <w:p w14:paraId="14E6EF70" w14:textId="33EA45F2" w:rsidR="00EF0195" w:rsidRPr="00EF0195" w:rsidRDefault="00EF0195" w:rsidP="0073576A">
      <w:pPr>
        <w:pStyle w:val="ListParagraph"/>
        <w:numPr>
          <w:ilvl w:val="1"/>
          <w:numId w:val="6"/>
        </w:numPr>
        <w:spacing w:after="240" w:line="276" w:lineRule="auto"/>
        <w:ind w:left="907"/>
        <w:contextualSpacing w:val="0"/>
        <w:jc w:val="both"/>
        <w:rPr>
          <w:rFonts w:ascii="Avenir Book" w:hAnsi="Avenir Book" w:cs="Arial"/>
          <w:color w:val="000000"/>
        </w:rPr>
      </w:pPr>
      <w:r>
        <w:rPr>
          <w:rFonts w:ascii="Avenir Book" w:hAnsi="Avenir Book" w:cs="Arial"/>
          <w:color w:val="000000"/>
        </w:rPr>
        <w:lastRenderedPageBreak/>
        <w:t xml:space="preserve">The </w:t>
      </w:r>
      <w:r w:rsidR="000D1211">
        <w:rPr>
          <w:rFonts w:ascii="Avenir Book" w:hAnsi="Avenir Book" w:cs="Arial"/>
          <w:color w:val="000000"/>
        </w:rPr>
        <w:t xml:space="preserve">physical and mental </w:t>
      </w:r>
      <w:r>
        <w:rPr>
          <w:rFonts w:ascii="Avenir Book" w:hAnsi="Avenir Book" w:cs="Arial"/>
          <w:color w:val="000000"/>
        </w:rPr>
        <w:t>health outcomes</w:t>
      </w:r>
      <w:r w:rsidR="00192875">
        <w:rPr>
          <w:rFonts w:ascii="Avenir Book" w:hAnsi="Avenir Book" w:cs="Arial"/>
          <w:color w:val="000000"/>
        </w:rPr>
        <w:t xml:space="preserve"> of</w:t>
      </w:r>
      <w:r>
        <w:rPr>
          <w:rFonts w:ascii="Avenir Book" w:hAnsi="Avenir Book" w:cs="Arial"/>
          <w:color w:val="000000"/>
        </w:rPr>
        <w:t xml:space="preserve"> (and differences in socioeconomic and health-specific barriers faced by) people with </w:t>
      </w:r>
      <w:r w:rsidRPr="00192875">
        <w:rPr>
          <w:rFonts w:ascii="Avenir Book" w:hAnsi="Avenir Book" w:cs="Arial"/>
          <w:i/>
          <w:color w:val="000000"/>
        </w:rPr>
        <w:t>additional</w:t>
      </w:r>
      <w:r>
        <w:rPr>
          <w:rFonts w:ascii="Avenir Book" w:hAnsi="Avenir Book" w:cs="Arial"/>
          <w:color w:val="000000"/>
        </w:rPr>
        <w:t xml:space="preserve"> intersecting characteristics, such as race, ethnicity, and sexual orientation.</w:t>
      </w:r>
    </w:p>
    <w:p w14:paraId="0E8D7F97" w14:textId="00327B70" w:rsidR="00DD0017" w:rsidRPr="00555C2E" w:rsidRDefault="0031422B" w:rsidP="0028021B">
      <w:pPr>
        <w:pStyle w:val="ListParagraph"/>
        <w:numPr>
          <w:ilvl w:val="0"/>
          <w:numId w:val="6"/>
        </w:numPr>
        <w:spacing w:after="120" w:line="276" w:lineRule="auto"/>
        <w:ind w:left="450" w:hanging="450"/>
        <w:contextualSpacing w:val="0"/>
        <w:jc w:val="both"/>
        <w:rPr>
          <w:rFonts w:ascii="Avenir Book" w:hAnsi="Avenir Book" w:cs="Arial"/>
          <w:color w:val="000000"/>
        </w:rPr>
      </w:pPr>
      <w:r w:rsidRPr="00555C2E">
        <w:rPr>
          <w:rFonts w:ascii="Avenir Medium" w:hAnsi="Avenir Medium" w:cs="Arial"/>
          <w:color w:val="000000"/>
        </w:rPr>
        <w:t xml:space="preserve">Health </w:t>
      </w:r>
      <w:r w:rsidR="00314318" w:rsidRPr="00555C2E">
        <w:rPr>
          <w:rFonts w:ascii="Avenir Medium" w:hAnsi="Avenir Medium" w:cs="Arial"/>
          <w:color w:val="000000"/>
        </w:rPr>
        <w:t>Care Access Barriers Faced b</w:t>
      </w:r>
      <w:r w:rsidR="00DB3E6F" w:rsidRPr="00555C2E">
        <w:rPr>
          <w:rFonts w:ascii="Avenir Medium" w:hAnsi="Avenir Medium" w:cs="Arial"/>
          <w:color w:val="000000"/>
        </w:rPr>
        <w:t xml:space="preserve">y </w:t>
      </w:r>
      <w:r w:rsidR="00314318" w:rsidRPr="00555C2E">
        <w:rPr>
          <w:rFonts w:ascii="Avenir Medium" w:hAnsi="Avenir Medium" w:cs="Arial"/>
          <w:iCs/>
        </w:rPr>
        <w:t>Transgender People w</w:t>
      </w:r>
      <w:r w:rsidR="00DB3E6F" w:rsidRPr="00555C2E">
        <w:rPr>
          <w:rFonts w:ascii="Avenir Medium" w:hAnsi="Avenir Medium" w:cs="Arial"/>
          <w:iCs/>
        </w:rPr>
        <w:t>ith Disabilities</w:t>
      </w:r>
    </w:p>
    <w:p w14:paraId="226D9049" w14:textId="10E3D8CB" w:rsidR="00DD0017" w:rsidRPr="00DB3E6F" w:rsidRDefault="00DD0017" w:rsidP="0073576A">
      <w:pPr>
        <w:pStyle w:val="ListParagraph"/>
        <w:numPr>
          <w:ilvl w:val="1"/>
          <w:numId w:val="6"/>
        </w:numPr>
        <w:spacing w:after="120" w:line="276" w:lineRule="auto"/>
        <w:contextualSpacing w:val="0"/>
        <w:jc w:val="both"/>
        <w:rPr>
          <w:rFonts w:ascii="Avenir Book" w:hAnsi="Avenir Book" w:cs="Arial"/>
          <w:color w:val="000000"/>
        </w:rPr>
      </w:pPr>
      <w:r w:rsidRPr="00DB3E6F">
        <w:rPr>
          <w:rFonts w:ascii="Avenir Book" w:hAnsi="Avenir Book" w:cs="Arial"/>
          <w:iCs/>
        </w:rPr>
        <w:t>H</w:t>
      </w:r>
      <w:r w:rsidR="000C6494" w:rsidRPr="00DB3E6F">
        <w:rPr>
          <w:rFonts w:ascii="Avenir Book" w:hAnsi="Avenir Book" w:cs="Arial"/>
          <w:iCs/>
        </w:rPr>
        <w:t xml:space="preserve">ow health care providers’ </w:t>
      </w:r>
      <w:r w:rsidR="00B21D90">
        <w:rPr>
          <w:rFonts w:ascii="Avenir Book" w:hAnsi="Avenir Book" w:cs="Arial"/>
          <w:iCs/>
        </w:rPr>
        <w:t xml:space="preserve">discrimination, </w:t>
      </w:r>
      <w:r w:rsidR="000C6494" w:rsidRPr="00DB3E6F">
        <w:rPr>
          <w:rFonts w:ascii="Avenir Book" w:hAnsi="Avenir Book" w:cs="Arial"/>
          <w:iCs/>
        </w:rPr>
        <w:t>implicit biases</w:t>
      </w:r>
      <w:r w:rsidR="00B21D90">
        <w:rPr>
          <w:rFonts w:ascii="Avenir Book" w:hAnsi="Avenir Book" w:cs="Arial"/>
          <w:iCs/>
        </w:rPr>
        <w:t>,</w:t>
      </w:r>
      <w:r w:rsidR="000C6494" w:rsidRPr="00DB3E6F">
        <w:rPr>
          <w:rFonts w:ascii="Avenir Book" w:hAnsi="Avenir Book" w:cs="Arial"/>
          <w:iCs/>
        </w:rPr>
        <w:t xml:space="preserve"> and</w:t>
      </w:r>
      <w:r w:rsidR="00B21D90">
        <w:rPr>
          <w:rFonts w:ascii="Avenir Book" w:hAnsi="Avenir Book" w:cs="Arial"/>
          <w:iCs/>
        </w:rPr>
        <w:t>/or misguided</w:t>
      </w:r>
      <w:r w:rsidR="000C6494" w:rsidRPr="00DB3E6F">
        <w:rPr>
          <w:rFonts w:ascii="Avenir Book" w:hAnsi="Avenir Book" w:cs="Arial"/>
          <w:iCs/>
        </w:rPr>
        <w:t xml:space="preserve"> assumptions </w:t>
      </w:r>
      <w:r w:rsidR="003E4127" w:rsidRPr="00DB3E6F">
        <w:rPr>
          <w:rFonts w:ascii="Avenir Book" w:hAnsi="Avenir Book" w:cs="Arial"/>
          <w:iCs/>
        </w:rPr>
        <w:t xml:space="preserve">about gender identity and disability </w:t>
      </w:r>
      <w:r w:rsidR="00787881" w:rsidRPr="00DB3E6F">
        <w:rPr>
          <w:rFonts w:ascii="Avenir Book" w:hAnsi="Avenir Book" w:cs="Arial"/>
          <w:iCs/>
        </w:rPr>
        <w:t>impact quality of care</w:t>
      </w:r>
      <w:r w:rsidR="00E26A97">
        <w:rPr>
          <w:rFonts w:ascii="Avenir Book" w:hAnsi="Avenir Book" w:cs="Arial"/>
          <w:iCs/>
        </w:rPr>
        <w:t xml:space="preserve"> and health care utilization rates.</w:t>
      </w:r>
    </w:p>
    <w:p w14:paraId="627DA912" w14:textId="191B8F34" w:rsidR="00E26A97" w:rsidRDefault="00927376"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color w:val="000000"/>
        </w:rPr>
        <w:t xml:space="preserve">How health-specific barriers to care </w:t>
      </w:r>
      <w:r w:rsidR="00933C31">
        <w:rPr>
          <w:rFonts w:ascii="Avenir Book" w:hAnsi="Avenir Book" w:cs="Arial"/>
          <w:color w:val="000000"/>
        </w:rPr>
        <w:t xml:space="preserve">are multiplied and compounded for </w:t>
      </w:r>
      <w:r>
        <w:rPr>
          <w:rFonts w:ascii="Avenir Book" w:hAnsi="Avenir Book" w:cs="Arial"/>
          <w:color w:val="000000"/>
        </w:rPr>
        <w:t>people with dual transgender and disabled identities</w:t>
      </w:r>
      <w:r w:rsidR="00933C31">
        <w:rPr>
          <w:rFonts w:ascii="Avenir Book" w:hAnsi="Avenir Book" w:cs="Arial"/>
          <w:color w:val="000000"/>
        </w:rPr>
        <w:t>.</w:t>
      </w:r>
    </w:p>
    <w:p w14:paraId="24D60A68" w14:textId="34DA0B8A" w:rsidR="00847739" w:rsidRPr="00E26A97" w:rsidRDefault="00503BF8"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color w:val="000000"/>
        </w:rPr>
        <w:t>How compounding health-specific barriers create</w:t>
      </w:r>
      <w:r w:rsidR="00847739">
        <w:rPr>
          <w:rFonts w:ascii="Avenir Book" w:hAnsi="Avenir Book" w:cs="Arial"/>
          <w:color w:val="000000"/>
        </w:rPr>
        <w:t xml:space="preserve"> underutilization of preventative and early intervention health care</w:t>
      </w:r>
      <w:r w:rsidR="00BB2F07">
        <w:rPr>
          <w:rFonts w:ascii="Avenir Book" w:hAnsi="Avenir Book" w:cs="Arial"/>
          <w:color w:val="000000"/>
        </w:rPr>
        <w:t xml:space="preserve"> and, in turn, impact health out</w:t>
      </w:r>
      <w:r w:rsidR="00FB0E9D">
        <w:rPr>
          <w:rFonts w:ascii="Avenir Book" w:hAnsi="Avenir Book" w:cs="Arial"/>
          <w:color w:val="000000"/>
        </w:rPr>
        <w:t>comes.</w:t>
      </w:r>
    </w:p>
    <w:p w14:paraId="6F7ADF83" w14:textId="1B76D69B" w:rsidR="0031422B" w:rsidRPr="00DB3E6F" w:rsidRDefault="00DD0017" w:rsidP="0073576A">
      <w:pPr>
        <w:pStyle w:val="ListParagraph"/>
        <w:numPr>
          <w:ilvl w:val="1"/>
          <w:numId w:val="6"/>
        </w:numPr>
        <w:spacing w:after="240" w:line="276" w:lineRule="auto"/>
        <w:ind w:left="907"/>
        <w:contextualSpacing w:val="0"/>
        <w:jc w:val="both"/>
        <w:rPr>
          <w:rFonts w:ascii="Avenir Book" w:hAnsi="Avenir Book" w:cs="Arial"/>
          <w:color w:val="000000"/>
        </w:rPr>
      </w:pPr>
      <w:r w:rsidRPr="00DB3E6F">
        <w:rPr>
          <w:rFonts w:ascii="Avenir Book" w:hAnsi="Avenir Book" w:cs="Arial"/>
          <w:iCs/>
        </w:rPr>
        <w:t>T</w:t>
      </w:r>
      <w:r w:rsidR="00FD6DEF" w:rsidRPr="00DB3E6F">
        <w:rPr>
          <w:rFonts w:ascii="Avenir Book" w:hAnsi="Avenir Book" w:cs="Arial"/>
          <w:iCs/>
        </w:rPr>
        <w:t>he availability or lack thereof of</w:t>
      </w:r>
      <w:r w:rsidR="001537FA">
        <w:rPr>
          <w:rFonts w:ascii="Avenir Book" w:hAnsi="Avenir Book" w:cs="Arial"/>
          <w:iCs/>
        </w:rPr>
        <w:t xml:space="preserve"> appropriate caregivers, </w:t>
      </w:r>
      <w:r w:rsidR="00215476" w:rsidRPr="00DB3E6F">
        <w:rPr>
          <w:rFonts w:ascii="Avenir Book" w:hAnsi="Avenir Book" w:cs="Arial"/>
          <w:iCs/>
        </w:rPr>
        <w:t xml:space="preserve">particularly </w:t>
      </w:r>
      <w:r w:rsidR="00F91C79">
        <w:rPr>
          <w:rFonts w:ascii="Avenir Book" w:hAnsi="Avenir Book" w:cs="Arial"/>
          <w:iCs/>
        </w:rPr>
        <w:t>for individuals</w:t>
      </w:r>
      <w:r w:rsidR="00215476" w:rsidRPr="00DB3E6F">
        <w:rPr>
          <w:rFonts w:ascii="Avenir Book" w:hAnsi="Avenir Book" w:cs="Arial"/>
          <w:iCs/>
        </w:rPr>
        <w:t xml:space="preserve"> </w:t>
      </w:r>
      <w:r w:rsidR="00F91C79">
        <w:rPr>
          <w:rFonts w:ascii="Avenir Book" w:hAnsi="Avenir Book" w:cs="Arial"/>
          <w:iCs/>
        </w:rPr>
        <w:t>who face</w:t>
      </w:r>
      <w:r w:rsidR="00215476" w:rsidRPr="00DB3E6F">
        <w:rPr>
          <w:rFonts w:ascii="Avenir Book" w:hAnsi="Avenir Book" w:cs="Arial"/>
          <w:iCs/>
        </w:rPr>
        <w:t xml:space="preserve"> rejection fro</w:t>
      </w:r>
      <w:r w:rsidR="00042E65">
        <w:rPr>
          <w:rFonts w:ascii="Avenir Book" w:hAnsi="Avenir Book" w:cs="Arial"/>
          <w:iCs/>
        </w:rPr>
        <w:t>m family and community members (</w:t>
      </w:r>
      <w:r w:rsidR="00215476" w:rsidRPr="00DB3E6F">
        <w:rPr>
          <w:rFonts w:ascii="Avenir Book" w:hAnsi="Avenir Book" w:cs="Arial"/>
          <w:iCs/>
        </w:rPr>
        <w:t xml:space="preserve">who </w:t>
      </w:r>
      <w:r w:rsidR="007F3B8C">
        <w:rPr>
          <w:rFonts w:ascii="Avenir Book" w:hAnsi="Avenir Book" w:cs="Arial"/>
          <w:iCs/>
        </w:rPr>
        <w:t xml:space="preserve">may </w:t>
      </w:r>
      <w:r w:rsidR="00215476" w:rsidRPr="00DB3E6F">
        <w:rPr>
          <w:rFonts w:ascii="Avenir Book" w:hAnsi="Avenir Book" w:cs="Arial"/>
          <w:iCs/>
        </w:rPr>
        <w:t xml:space="preserve">otherwise </w:t>
      </w:r>
      <w:r w:rsidR="001537FA">
        <w:rPr>
          <w:rFonts w:ascii="Avenir Book" w:hAnsi="Avenir Book" w:cs="Arial"/>
          <w:iCs/>
        </w:rPr>
        <w:t>provide care</w:t>
      </w:r>
      <w:r w:rsidR="00882794">
        <w:rPr>
          <w:rFonts w:ascii="Avenir Book" w:hAnsi="Avenir Book" w:cs="Arial"/>
          <w:iCs/>
        </w:rPr>
        <w:t>)</w:t>
      </w:r>
      <w:r w:rsidR="00DB5B3B">
        <w:rPr>
          <w:rFonts w:ascii="Avenir Book" w:hAnsi="Avenir Book" w:cs="Arial"/>
          <w:iCs/>
        </w:rPr>
        <w:t>.</w:t>
      </w:r>
    </w:p>
    <w:p w14:paraId="431646D7" w14:textId="014F0349" w:rsidR="009934EA" w:rsidRPr="00C43CCD" w:rsidRDefault="00676202" w:rsidP="0028021B">
      <w:pPr>
        <w:pStyle w:val="ListParagraph"/>
        <w:numPr>
          <w:ilvl w:val="0"/>
          <w:numId w:val="6"/>
        </w:numPr>
        <w:spacing w:after="120" w:line="276" w:lineRule="auto"/>
        <w:ind w:left="450" w:hanging="450"/>
        <w:contextualSpacing w:val="0"/>
        <w:jc w:val="both"/>
        <w:rPr>
          <w:rFonts w:ascii="Avenir Book" w:hAnsi="Avenir Book" w:cs="Arial"/>
          <w:color w:val="000000"/>
        </w:rPr>
      </w:pPr>
      <w:r w:rsidRPr="00C43CCD">
        <w:rPr>
          <w:rFonts w:ascii="Avenir Medium" w:hAnsi="Avenir Medium" w:cs="Arial"/>
          <w:color w:val="000000"/>
        </w:rPr>
        <w:t xml:space="preserve">The </w:t>
      </w:r>
      <w:r w:rsidR="00414793" w:rsidRPr="00C43CCD">
        <w:rPr>
          <w:rFonts w:ascii="Avenir Medium" w:hAnsi="Avenir Medium" w:cs="Arial"/>
          <w:color w:val="000000"/>
        </w:rPr>
        <w:t>Social Determinants of the Health o</w:t>
      </w:r>
      <w:r w:rsidR="00314318" w:rsidRPr="00C43CCD">
        <w:rPr>
          <w:rFonts w:ascii="Avenir Medium" w:hAnsi="Avenir Medium" w:cs="Arial"/>
          <w:color w:val="000000"/>
        </w:rPr>
        <w:t>f Transgender People w</w:t>
      </w:r>
      <w:r w:rsidR="00DB3E6F" w:rsidRPr="00C43CCD">
        <w:rPr>
          <w:rFonts w:ascii="Avenir Medium" w:hAnsi="Avenir Medium" w:cs="Arial"/>
          <w:color w:val="000000"/>
        </w:rPr>
        <w:t>ith Disabilities</w:t>
      </w:r>
    </w:p>
    <w:p w14:paraId="32B7980E" w14:textId="19252B89" w:rsidR="00DB5B3B" w:rsidRPr="00DB5B3B" w:rsidRDefault="00DB5B3B" w:rsidP="0073576A">
      <w:pPr>
        <w:pStyle w:val="ListParagraph"/>
        <w:numPr>
          <w:ilvl w:val="1"/>
          <w:numId w:val="6"/>
        </w:numPr>
        <w:spacing w:after="120" w:line="276" w:lineRule="auto"/>
        <w:contextualSpacing w:val="0"/>
        <w:jc w:val="both"/>
        <w:rPr>
          <w:rFonts w:ascii="Avenir Book" w:hAnsi="Avenir Book" w:cs="Arial"/>
          <w:color w:val="000000"/>
        </w:rPr>
      </w:pPr>
      <w:r w:rsidRPr="00DB3E6F">
        <w:rPr>
          <w:rFonts w:ascii="Avenir Book" w:hAnsi="Avenir Book" w:cs="Arial"/>
          <w:color w:val="000000"/>
        </w:rPr>
        <w:t xml:space="preserve">The prevalence and </w:t>
      </w:r>
      <w:r>
        <w:rPr>
          <w:rFonts w:ascii="Avenir Book" w:hAnsi="Avenir Book" w:cs="Arial"/>
          <w:color w:val="000000"/>
        </w:rPr>
        <w:t xml:space="preserve">health </w:t>
      </w:r>
      <w:r w:rsidRPr="00DB3E6F">
        <w:rPr>
          <w:rFonts w:ascii="Avenir Book" w:hAnsi="Avenir Book" w:cs="Arial"/>
          <w:color w:val="000000"/>
        </w:rPr>
        <w:t>impact of lack of access to family and community supports</w:t>
      </w:r>
      <w:r>
        <w:rPr>
          <w:rFonts w:ascii="Avenir Book" w:hAnsi="Avenir Book" w:cs="Arial"/>
          <w:color w:val="000000"/>
        </w:rPr>
        <w:t xml:space="preserve"> and social isolation, particularly </w:t>
      </w:r>
      <w:r>
        <w:rPr>
          <w:rFonts w:ascii="Avenir Book" w:hAnsi="Avenir Book" w:cs="Arial"/>
          <w:iCs/>
        </w:rPr>
        <w:t>for individuals</w:t>
      </w:r>
      <w:r w:rsidRPr="00DB3E6F">
        <w:rPr>
          <w:rFonts w:ascii="Avenir Book" w:hAnsi="Avenir Book" w:cs="Arial"/>
          <w:iCs/>
        </w:rPr>
        <w:t xml:space="preserve"> </w:t>
      </w:r>
      <w:r>
        <w:rPr>
          <w:rFonts w:ascii="Avenir Book" w:hAnsi="Avenir Book" w:cs="Arial"/>
          <w:iCs/>
        </w:rPr>
        <w:t>who face</w:t>
      </w:r>
      <w:r w:rsidRPr="00DB3E6F">
        <w:rPr>
          <w:rFonts w:ascii="Avenir Book" w:hAnsi="Avenir Book" w:cs="Arial"/>
          <w:iCs/>
        </w:rPr>
        <w:t xml:space="preserve"> rejection fro</w:t>
      </w:r>
      <w:r>
        <w:rPr>
          <w:rFonts w:ascii="Avenir Book" w:hAnsi="Avenir Book" w:cs="Arial"/>
          <w:iCs/>
        </w:rPr>
        <w:t>m family and community members</w:t>
      </w:r>
      <w:r w:rsidR="001344C8">
        <w:rPr>
          <w:rFonts w:ascii="Avenir Book" w:hAnsi="Avenir Book" w:cs="Arial"/>
          <w:iCs/>
        </w:rPr>
        <w:t xml:space="preserve"> because of their transgender and/or disabled identities</w:t>
      </w:r>
      <w:r w:rsidR="00916248">
        <w:rPr>
          <w:rFonts w:ascii="Avenir Book" w:hAnsi="Avenir Book" w:cs="Arial"/>
          <w:iCs/>
        </w:rPr>
        <w:t xml:space="preserve">, and how </w:t>
      </w:r>
      <w:r w:rsidR="00B277EE">
        <w:rPr>
          <w:rFonts w:ascii="Avenir Book" w:hAnsi="Avenir Book" w:cs="Arial"/>
          <w:iCs/>
        </w:rPr>
        <w:t>different social and cultural norm</w:t>
      </w:r>
      <w:r w:rsidR="00A46FF7">
        <w:rPr>
          <w:rFonts w:ascii="Avenir Book" w:hAnsi="Avenir Book" w:cs="Arial"/>
          <w:iCs/>
        </w:rPr>
        <w:t>s</w:t>
      </w:r>
      <w:r w:rsidR="00B277EE">
        <w:rPr>
          <w:rFonts w:ascii="Avenir Book" w:hAnsi="Avenir Book" w:cs="Arial"/>
          <w:iCs/>
        </w:rPr>
        <w:t xml:space="preserve"> (</w:t>
      </w:r>
      <w:r w:rsidR="00B277EE">
        <w:rPr>
          <w:rFonts w:ascii="Avenir Book" w:hAnsi="Avenir Book" w:cs="Arial"/>
          <w:color w:val="000000"/>
        </w:rPr>
        <w:t>which may differ depending on family background, ethnicity, and religion</w:t>
      </w:r>
      <w:r w:rsidR="00B277EE">
        <w:rPr>
          <w:rFonts w:ascii="Avenir Book" w:hAnsi="Avenir Book" w:cs="Arial"/>
          <w:iCs/>
        </w:rPr>
        <w:t>) affect the likelihood of this occurrence.</w:t>
      </w:r>
    </w:p>
    <w:p w14:paraId="5B507FED" w14:textId="6D94125D" w:rsidR="00C219E5" w:rsidRDefault="00C219E5"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color w:val="000000"/>
        </w:rPr>
        <w:t>The prevalence and health impact of family rejection of transgender youth who, beca</w:t>
      </w:r>
      <w:r w:rsidR="005C23FA">
        <w:rPr>
          <w:rFonts w:ascii="Avenir Book" w:hAnsi="Avenir Book" w:cs="Arial"/>
          <w:color w:val="000000"/>
        </w:rPr>
        <w:t xml:space="preserve">use of a disability, may have </w:t>
      </w:r>
      <w:r>
        <w:rPr>
          <w:rFonts w:ascii="Avenir Book" w:hAnsi="Avenir Book" w:cs="Arial"/>
          <w:color w:val="000000"/>
        </w:rPr>
        <w:t xml:space="preserve">particular dependence on their parents. </w:t>
      </w:r>
    </w:p>
    <w:p w14:paraId="0D8BCD9E" w14:textId="0DDC7804" w:rsidR="00447E99" w:rsidRDefault="009A0D89"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color w:val="000000"/>
        </w:rPr>
        <w:t xml:space="preserve">The prevalence of </w:t>
      </w:r>
      <w:r w:rsidR="00A46FF7">
        <w:rPr>
          <w:rFonts w:ascii="Avenir Book" w:hAnsi="Avenir Book" w:cs="Arial"/>
          <w:color w:val="000000"/>
        </w:rPr>
        <w:t>disparate educational attainment</w:t>
      </w:r>
      <w:r>
        <w:rPr>
          <w:rFonts w:ascii="Avenir Book" w:hAnsi="Avenir Book" w:cs="Arial"/>
          <w:color w:val="000000"/>
        </w:rPr>
        <w:t>, and h</w:t>
      </w:r>
      <w:r w:rsidR="006A7B12">
        <w:rPr>
          <w:rFonts w:ascii="Avenir Book" w:hAnsi="Avenir Book" w:cs="Arial"/>
          <w:color w:val="000000"/>
        </w:rPr>
        <w:t xml:space="preserve">ow </w:t>
      </w:r>
      <w:r w:rsidR="00A46FF7">
        <w:rPr>
          <w:rFonts w:ascii="Avenir Book" w:hAnsi="Avenir Book" w:cs="Arial"/>
          <w:color w:val="000000"/>
        </w:rPr>
        <w:t xml:space="preserve">and what types of </w:t>
      </w:r>
      <w:r w:rsidR="006A7B12">
        <w:rPr>
          <w:rFonts w:ascii="Avenir Book" w:hAnsi="Avenir Book" w:cs="Arial"/>
          <w:color w:val="000000"/>
        </w:rPr>
        <w:t xml:space="preserve">early intervention and </w:t>
      </w:r>
      <w:r>
        <w:rPr>
          <w:rFonts w:ascii="Avenir Book" w:hAnsi="Avenir Book" w:cs="Arial"/>
          <w:color w:val="000000"/>
        </w:rPr>
        <w:t>support</w:t>
      </w:r>
      <w:r w:rsidR="00553E15">
        <w:rPr>
          <w:rFonts w:ascii="Avenir Book" w:hAnsi="Avenir Book" w:cs="Arial"/>
          <w:color w:val="000000"/>
        </w:rPr>
        <w:t xml:space="preserve"> in the education or special education systems can </w:t>
      </w:r>
      <w:r w:rsidR="00903780">
        <w:rPr>
          <w:rFonts w:ascii="Avenir Book" w:hAnsi="Avenir Book" w:cs="Arial"/>
          <w:color w:val="000000"/>
        </w:rPr>
        <w:t>improve</w:t>
      </w:r>
      <w:r>
        <w:rPr>
          <w:rFonts w:ascii="Avenir Book" w:hAnsi="Avenir Book" w:cs="Arial"/>
          <w:color w:val="000000"/>
        </w:rPr>
        <w:t xml:space="preserve"> the physical and mental health </w:t>
      </w:r>
      <w:r w:rsidR="009A6B26">
        <w:rPr>
          <w:rFonts w:ascii="Avenir Book" w:hAnsi="Avenir Book" w:cs="Arial"/>
          <w:color w:val="000000"/>
        </w:rPr>
        <w:t xml:space="preserve">and safety </w:t>
      </w:r>
      <w:r>
        <w:rPr>
          <w:rFonts w:ascii="Avenir Book" w:hAnsi="Avenir Book" w:cs="Arial"/>
          <w:color w:val="000000"/>
        </w:rPr>
        <w:t>of transgender youth.</w:t>
      </w:r>
    </w:p>
    <w:p w14:paraId="0E22F621" w14:textId="2C0C82F2" w:rsidR="00CE401B" w:rsidRDefault="00371A72" w:rsidP="0073576A">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color w:val="000000"/>
        </w:rPr>
        <w:t>The prevalence and health impact of h</w:t>
      </w:r>
      <w:r w:rsidR="009934EA" w:rsidRPr="00DB3E6F">
        <w:rPr>
          <w:rFonts w:ascii="Avenir Book" w:hAnsi="Avenir Book" w:cs="Arial"/>
          <w:color w:val="000000"/>
        </w:rPr>
        <w:t>ousing instability</w:t>
      </w:r>
      <w:r w:rsidR="00903780">
        <w:rPr>
          <w:rFonts w:ascii="Avenir Book" w:hAnsi="Avenir Book" w:cs="Arial"/>
          <w:color w:val="000000"/>
        </w:rPr>
        <w:t xml:space="preserve"> and homelessness, particularly for transgender people </w:t>
      </w:r>
      <w:r w:rsidR="00A63050">
        <w:rPr>
          <w:rFonts w:ascii="Avenir Book" w:hAnsi="Avenir Book" w:cs="Arial"/>
          <w:color w:val="000000"/>
        </w:rPr>
        <w:t>who have mental health disabilities and face rejection from their communities.</w:t>
      </w:r>
    </w:p>
    <w:p w14:paraId="3D00D373" w14:textId="48759476" w:rsidR="00555C2E" w:rsidRPr="00CA7724" w:rsidRDefault="00903780" w:rsidP="00CA7724">
      <w:pPr>
        <w:pStyle w:val="ListParagraph"/>
        <w:numPr>
          <w:ilvl w:val="1"/>
          <w:numId w:val="6"/>
        </w:numPr>
        <w:spacing w:after="120" w:line="276" w:lineRule="auto"/>
        <w:contextualSpacing w:val="0"/>
        <w:jc w:val="both"/>
        <w:rPr>
          <w:rFonts w:ascii="Avenir Book" w:hAnsi="Avenir Book" w:cs="Arial"/>
          <w:color w:val="000000"/>
        </w:rPr>
      </w:pPr>
      <w:r>
        <w:rPr>
          <w:rFonts w:ascii="Avenir Book" w:hAnsi="Avenir Book" w:cs="Arial"/>
          <w:color w:val="000000"/>
        </w:rPr>
        <w:t xml:space="preserve">The prevalence </w:t>
      </w:r>
      <w:r w:rsidR="009213EB">
        <w:rPr>
          <w:rFonts w:ascii="Avenir Book" w:hAnsi="Avenir Book" w:cs="Arial"/>
          <w:color w:val="000000"/>
        </w:rPr>
        <w:t xml:space="preserve">and health impact </w:t>
      </w:r>
      <w:r>
        <w:rPr>
          <w:rFonts w:ascii="Avenir Book" w:hAnsi="Avenir Book" w:cs="Arial"/>
          <w:color w:val="000000"/>
        </w:rPr>
        <w:t>of m</w:t>
      </w:r>
      <w:r w:rsidR="00787881" w:rsidRPr="00DB3E6F">
        <w:rPr>
          <w:rFonts w:ascii="Avenir Book" w:hAnsi="Avenir Book" w:cs="Arial"/>
          <w:color w:val="000000"/>
        </w:rPr>
        <w:t xml:space="preserve">istreatment </w:t>
      </w:r>
      <w:r w:rsidR="006362EC">
        <w:rPr>
          <w:rFonts w:ascii="Avenir Book" w:hAnsi="Avenir Book" w:cs="Arial"/>
          <w:color w:val="000000"/>
        </w:rPr>
        <w:t>in prison</w:t>
      </w:r>
      <w:r w:rsidR="00856C5B">
        <w:rPr>
          <w:rFonts w:ascii="Avenir Book" w:hAnsi="Avenir Book" w:cs="Arial"/>
          <w:color w:val="000000"/>
        </w:rPr>
        <w:t xml:space="preserve"> or jail</w:t>
      </w:r>
      <w:r w:rsidR="00FF2499">
        <w:rPr>
          <w:rFonts w:ascii="Avenir Book" w:hAnsi="Avenir Book" w:cs="Arial"/>
          <w:color w:val="000000"/>
        </w:rPr>
        <w:t>, particul</w:t>
      </w:r>
      <w:r w:rsidR="00856C5B">
        <w:rPr>
          <w:rFonts w:ascii="Avenir Book" w:hAnsi="Avenir Book" w:cs="Arial"/>
          <w:color w:val="000000"/>
        </w:rPr>
        <w:t xml:space="preserve">arly for transgender inmates </w:t>
      </w:r>
      <w:r w:rsidR="00641BFB">
        <w:rPr>
          <w:rFonts w:ascii="Avenir Book" w:hAnsi="Avenir Book" w:cs="Arial"/>
          <w:color w:val="000000"/>
        </w:rPr>
        <w:t xml:space="preserve">who need disability accommodations and </w:t>
      </w:r>
      <w:r w:rsidR="00856C5B">
        <w:rPr>
          <w:rFonts w:ascii="Avenir Book" w:hAnsi="Avenir Book" w:cs="Arial"/>
          <w:color w:val="000000"/>
        </w:rPr>
        <w:t xml:space="preserve">whose gender identity </w:t>
      </w:r>
      <w:r w:rsidR="00556584">
        <w:rPr>
          <w:rFonts w:ascii="Avenir Book" w:hAnsi="Avenir Book" w:cs="Arial"/>
          <w:color w:val="000000"/>
        </w:rPr>
        <w:t>is inappropriately and illegally not taken int</w:t>
      </w:r>
      <w:r w:rsidR="001A6175">
        <w:rPr>
          <w:rFonts w:ascii="Avenir Book" w:hAnsi="Avenir Book" w:cs="Arial"/>
          <w:color w:val="000000"/>
        </w:rPr>
        <w:t xml:space="preserve">o account </w:t>
      </w:r>
      <w:r w:rsidR="00A15AEE">
        <w:rPr>
          <w:rFonts w:ascii="Avenir Book" w:hAnsi="Avenir Book" w:cs="Arial"/>
          <w:color w:val="000000"/>
        </w:rPr>
        <w:t>in</w:t>
      </w:r>
      <w:r w:rsidR="00641BFB">
        <w:rPr>
          <w:rFonts w:ascii="Avenir Book" w:hAnsi="Avenir Book" w:cs="Arial"/>
          <w:color w:val="000000"/>
        </w:rPr>
        <w:t xml:space="preserve"> housing placement.</w:t>
      </w:r>
    </w:p>
    <w:p w14:paraId="4B16F852" w14:textId="77777777" w:rsidR="00B969E7" w:rsidRPr="00B42560" w:rsidRDefault="00B969E7" w:rsidP="00B969E7">
      <w:pPr>
        <w:rPr>
          <w:rFonts w:ascii="Avenir Medium" w:hAnsi="Avenir Medium" w:cs="Arial"/>
          <w:color w:val="D3011D"/>
          <w:sz w:val="8"/>
          <w:szCs w:val="12"/>
        </w:rPr>
      </w:pPr>
    </w:p>
    <w:p w14:paraId="75A3E05C" w14:textId="2100F697" w:rsidR="00800FC0" w:rsidRPr="009934EA" w:rsidRDefault="005959A4" w:rsidP="00B969E7">
      <w:pPr>
        <w:rPr>
          <w:rFonts w:ascii="Avenir Book" w:hAnsi="Avenir Book" w:cs="Arial"/>
          <w:color w:val="000000"/>
        </w:rPr>
      </w:pPr>
      <w:r>
        <w:rPr>
          <w:rFonts w:ascii="Avenir Medium" w:hAnsi="Avenir Medium" w:cs="Arial"/>
          <w:color w:val="D3011D"/>
        </w:rPr>
        <w:lastRenderedPageBreak/>
        <w:t xml:space="preserve">Endnotes </w:t>
      </w:r>
    </w:p>
    <w:sectPr w:rsidR="00800FC0" w:rsidRPr="009934EA" w:rsidSect="00DB26DE">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2240" w:h="15840"/>
      <w:pgMar w:top="1320" w:right="1080" w:bottom="795" w:left="1080" w:header="630" w:footer="532"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5521" w14:textId="77777777" w:rsidR="00F22F84" w:rsidRDefault="00F22F84" w:rsidP="00655EE2">
      <w:r>
        <w:separator/>
      </w:r>
    </w:p>
  </w:endnote>
  <w:endnote w:type="continuationSeparator" w:id="0">
    <w:p w14:paraId="6BDB4DD4" w14:textId="77777777" w:rsidR="00F22F84" w:rsidRDefault="00F22F84" w:rsidP="00655EE2"/>
  </w:endnote>
  <w:endnote w:id="1">
    <w:p w14:paraId="363904AA" w14:textId="6D33B3F1"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See, e.g.</w:t>
      </w:r>
      <w:r w:rsidRPr="005959A4">
        <w:rPr>
          <w:rFonts w:ascii="Avenir Book" w:hAnsi="Avenir Book"/>
        </w:rPr>
        <w:t xml:space="preserve">, </w:t>
      </w:r>
      <w:r w:rsidRPr="005959A4">
        <w:rPr>
          <w:rFonts w:ascii="Avenir Book" w:hAnsi="Avenir Book" w:cs="Arial"/>
          <w:smallCaps/>
        </w:rPr>
        <w:t>Nat’l Acads. Sci., Eng’g, &amp; Med., Communities in Action: Pathways to Health Equity</w:t>
      </w:r>
      <w:r w:rsidRPr="005959A4">
        <w:rPr>
          <w:rFonts w:ascii="Avenir Book" w:hAnsi="Avenir Book" w:cs="Arial"/>
        </w:rPr>
        <w:t xml:space="preserve"> 73–76 (</w:t>
      </w:r>
      <w:r w:rsidRPr="005959A4">
        <w:rPr>
          <w:rFonts w:ascii="Avenir Book" w:hAnsi="Avenir Book"/>
        </w:rPr>
        <w:t xml:space="preserve">Nat’l Acads. Press </w:t>
      </w:r>
      <w:r w:rsidRPr="005959A4">
        <w:rPr>
          <w:rFonts w:ascii="Avenir Book" w:hAnsi="Avenir Book" w:cs="Arial"/>
        </w:rPr>
        <w:t xml:space="preserve">2017), </w:t>
      </w:r>
      <w:r w:rsidRPr="005959A4">
        <w:rPr>
          <w:rFonts w:ascii="Avenir Book" w:hAnsi="Avenir Book" w:cs="Arial"/>
          <w:i/>
        </w:rPr>
        <w:t xml:space="preserve">available at </w:t>
      </w:r>
      <w:r w:rsidRPr="005959A4">
        <w:rPr>
          <w:rFonts w:ascii="Avenir Book" w:hAnsi="Avenir Book" w:cs="Arial"/>
        </w:rPr>
        <w:t xml:space="preserve">http://nap.edu/24624 (documenting health disparities of both groups); Silvia Yee, et al., </w:t>
      </w:r>
      <w:r w:rsidRPr="005959A4">
        <w:rPr>
          <w:rFonts w:ascii="Avenir Book" w:hAnsi="Avenir Book" w:cs="Arial"/>
          <w:i/>
        </w:rPr>
        <w:t>Compounded Disparities:  Health Equity at the Intersection of Disability, Race, and Ethnicity</w:t>
      </w:r>
      <w:r w:rsidRPr="005959A4">
        <w:rPr>
          <w:rFonts w:ascii="Avenir Book" w:hAnsi="Avenir Book" w:cs="Arial"/>
        </w:rPr>
        <w:t xml:space="preserve">, </w:t>
      </w:r>
      <w:r w:rsidRPr="005959A4">
        <w:rPr>
          <w:rFonts w:ascii="Avenir Book" w:hAnsi="Avenir Book" w:cs="Arial"/>
          <w:smallCaps/>
        </w:rPr>
        <w:t>Nat’l Acads. Sci., Eng’g, &amp; Med.</w:t>
      </w:r>
      <w:r w:rsidRPr="005959A4">
        <w:rPr>
          <w:rFonts w:ascii="Avenir Book" w:hAnsi="Avenir Book" w:cs="Arial"/>
        </w:rPr>
        <w:t>, at 31–32 (2017), http://nationalacademies.org/hmd/Activities/SelectPops/HealthDisparities/</w:t>
      </w:r>
      <w:r>
        <w:rPr>
          <w:rFonts w:ascii="Avenir Book" w:hAnsi="Avenir Book" w:cs="Arial"/>
        </w:rPr>
        <w:t xml:space="preserve"> </w:t>
      </w:r>
      <w:r w:rsidRPr="005959A4">
        <w:rPr>
          <w:rFonts w:ascii="Avenir Book" w:hAnsi="Avenir Book" w:cs="Arial"/>
        </w:rPr>
        <w:t xml:space="preserve">Commissioned-Papers/Compounded-Disparities (documenting health disparities of people with disabilities); </w:t>
      </w:r>
      <w:r w:rsidRPr="005959A4">
        <w:rPr>
          <w:rFonts w:ascii="Avenir Book" w:hAnsi="Avenir Book"/>
        </w:rPr>
        <w:t xml:space="preserve">S.E. James, et al., </w:t>
      </w:r>
      <w:r w:rsidRPr="005959A4">
        <w:rPr>
          <w:rFonts w:ascii="Avenir Book" w:hAnsi="Avenir Book"/>
          <w:i/>
        </w:rPr>
        <w:t>The Report of the 2015 U.S. Transgender Survey</w:t>
      </w:r>
      <w:r w:rsidRPr="005959A4">
        <w:rPr>
          <w:rFonts w:ascii="Avenir Book" w:hAnsi="Avenir Book"/>
        </w:rPr>
        <w:t xml:space="preserve">, </w:t>
      </w:r>
      <w:r w:rsidRPr="005959A4">
        <w:rPr>
          <w:rFonts w:ascii="Avenir Book" w:hAnsi="Avenir Book"/>
          <w:smallCaps/>
        </w:rPr>
        <w:t>Nat’l Ctr. for Transgender Equality</w:t>
      </w:r>
      <w:r w:rsidRPr="005959A4">
        <w:rPr>
          <w:rFonts w:ascii="Avenir Book" w:hAnsi="Avenir Book"/>
        </w:rPr>
        <w:t xml:space="preserve"> </w:t>
      </w:r>
      <w:r w:rsidRPr="005959A4">
        <w:rPr>
          <w:rFonts w:ascii="Avenir Book" w:hAnsi="Avenir Book"/>
          <w:iCs/>
        </w:rPr>
        <w:t xml:space="preserve">103–07 </w:t>
      </w:r>
      <w:r w:rsidRPr="005959A4">
        <w:rPr>
          <w:rFonts w:ascii="Avenir Book" w:hAnsi="Avenir Book"/>
        </w:rPr>
        <w:t>(2016), https://transequality.org/sites/default/files/docs/usts/USTS-Full-Report-Dec17.pdf (documenting health disparities of transgender people).</w:t>
      </w:r>
    </w:p>
  </w:endnote>
  <w:endnote w:id="2">
    <w:p w14:paraId="766482C6" w14:textId="5B211673"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cs="Arial"/>
          <w:smallCaps/>
        </w:rPr>
        <w:t xml:space="preserve">Nat’l Acads. Sci., Eng’g, &amp; Med.,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 xml:space="preserve">75. </w:t>
      </w:r>
    </w:p>
  </w:endnote>
  <w:endnote w:id="3">
    <w:p w14:paraId="787C84CD" w14:textId="53C6BF46"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Yee,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75.</w:t>
      </w:r>
    </w:p>
  </w:endnote>
  <w:endnote w:id="4">
    <w:p w14:paraId="318C9634" w14:textId="6B2C0A84"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103.</w:t>
      </w:r>
    </w:p>
  </w:endnote>
  <w:endnote w:id="5">
    <w:p w14:paraId="0EAD2D80" w14:textId="6D6B8E48"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See </w:t>
      </w:r>
      <w:r w:rsidRPr="005959A4">
        <w:rPr>
          <w:rFonts w:ascii="Avenir Book" w:hAnsi="Avenir Book"/>
        </w:rPr>
        <w:t xml:space="preserve">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 xml:space="preserve">4. </w:t>
      </w:r>
    </w:p>
  </w:endnote>
  <w:endnote w:id="6">
    <w:p w14:paraId="6649ECB3" w14:textId="59CE27C1"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See </w:t>
      </w:r>
      <w:r w:rsidRPr="005959A4">
        <w:rPr>
          <w:rFonts w:ascii="Avenir Book" w:hAnsi="Avenir Book"/>
        </w:rPr>
        <w:t xml:space="preserve">Jaime M. Grant, et al., </w:t>
      </w:r>
      <w:r w:rsidRPr="005959A4">
        <w:rPr>
          <w:rFonts w:ascii="Avenir Book" w:hAnsi="Avenir Book"/>
          <w:i/>
        </w:rPr>
        <w:t>I</w:t>
      </w:r>
      <w:r w:rsidRPr="005959A4">
        <w:rPr>
          <w:rFonts w:ascii="Avenir Book" w:hAnsi="Avenir Book"/>
          <w:i/>
          <w:iCs/>
        </w:rPr>
        <w:t>njustice at Every Turn: A Report of the National Transgender Discrimination Survey</w:t>
      </w:r>
      <w:r w:rsidRPr="005959A4">
        <w:rPr>
          <w:rFonts w:ascii="Avenir Book" w:hAnsi="Avenir Book"/>
          <w:iCs/>
        </w:rPr>
        <w:t xml:space="preserve">, </w:t>
      </w:r>
      <w:r w:rsidRPr="005959A4">
        <w:rPr>
          <w:rFonts w:ascii="Avenir Book" w:hAnsi="Avenir Book"/>
          <w:smallCaps/>
        </w:rPr>
        <w:t>Nat’l Ctr. for Transgender Equality &amp; Nat’l Gay &amp; Lesbian Task Force</w:t>
      </w:r>
      <w:r w:rsidRPr="005959A4">
        <w:rPr>
          <w:rFonts w:ascii="Avenir Book" w:hAnsi="Avenir Book"/>
          <w:iCs/>
        </w:rPr>
        <w:t xml:space="preserve"> </w:t>
      </w:r>
      <w:r w:rsidRPr="005959A4">
        <w:rPr>
          <w:rFonts w:ascii="Avenir Book" w:hAnsi="Avenir Book"/>
        </w:rPr>
        <w:t>(2011), http://www.thetaskforce.org/static_html/downloads/reports/reports/ntds_full.pdf.</w:t>
      </w:r>
    </w:p>
  </w:endnote>
  <w:endnote w:id="7">
    <w:p w14:paraId="2BFC2C5A" w14:textId="269EA84B" w:rsidR="005959A4" w:rsidRPr="005959A4" w:rsidRDefault="005959A4" w:rsidP="00B83E57">
      <w:pPr>
        <w:pStyle w:val="EndnoteText"/>
        <w:spacing w:before="240" w:after="240"/>
        <w:jc w:val="both"/>
        <w:rPr>
          <w:rFonts w:ascii="Avenir Book" w:hAnsi="Avenir Book"/>
          <w:bCs/>
          <w:smallCaps/>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smallCaps/>
        </w:rPr>
        <w:t>Inst. of Med.,</w:t>
      </w:r>
      <w:r w:rsidRPr="005959A4">
        <w:rPr>
          <w:rFonts w:ascii="Avenir Book" w:hAnsi="Avenir Book"/>
        </w:rPr>
        <w:t xml:space="preserve"> </w:t>
      </w:r>
      <w:r w:rsidRPr="005959A4">
        <w:rPr>
          <w:rFonts w:ascii="Avenir Book" w:hAnsi="Avenir Book"/>
          <w:bCs/>
          <w:smallCaps/>
        </w:rPr>
        <w:t xml:space="preserve">Comm. on Lesbian, Gay, Bisexual, &amp; Transgender Health Issues &amp; Research Gaps &amp; Opportunities, </w:t>
      </w:r>
      <w:r w:rsidRPr="005959A4">
        <w:rPr>
          <w:rFonts w:ascii="Avenir Book" w:hAnsi="Avenir Book"/>
          <w:smallCaps/>
        </w:rPr>
        <w:t>The Health of Lesbian, Gay, Bisexual, and Transgender People: Building a Foundation for Better Understanding</w:t>
      </w:r>
      <w:r w:rsidRPr="005959A4">
        <w:rPr>
          <w:rFonts w:ascii="Avenir Book" w:hAnsi="Avenir Book"/>
          <w:iCs/>
        </w:rPr>
        <w:t xml:space="preserve"> 266–67 </w:t>
      </w:r>
      <w:r w:rsidRPr="005959A4">
        <w:rPr>
          <w:rFonts w:ascii="Avenir Book" w:hAnsi="Avenir Book"/>
        </w:rPr>
        <w:t>(Nat’l Acads. Press 2011)</w:t>
      </w:r>
      <w:r w:rsidRPr="005959A4">
        <w:rPr>
          <w:rFonts w:ascii="Avenir Book" w:hAnsi="Avenir Book"/>
          <w:i/>
          <w:iCs/>
        </w:rPr>
        <w:t xml:space="preserve">, </w:t>
      </w:r>
      <w:r w:rsidRPr="005959A4">
        <w:rPr>
          <w:rFonts w:ascii="Avenir Book" w:hAnsi="Avenir Book"/>
          <w:i/>
        </w:rPr>
        <w:t>available at</w:t>
      </w:r>
      <w:r w:rsidRPr="005959A4">
        <w:rPr>
          <w:rFonts w:ascii="Avenir Book" w:hAnsi="Avenir Book"/>
        </w:rPr>
        <w:t xml:space="preserve"> https://www.nap.edu/catalog/13128/the-health-of-lesbian-gay-bisexual-and-transgender-people-building.</w:t>
      </w:r>
    </w:p>
  </w:endnote>
  <w:endnote w:id="8">
    <w:p w14:paraId="7D92C6DB" w14:textId="36E566A1"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See, e.g.</w:t>
      </w:r>
      <w:r w:rsidRPr="005959A4">
        <w:rPr>
          <w:rFonts w:ascii="Avenir Book" w:hAnsi="Avenir Book"/>
        </w:rPr>
        <w:t>,</w:t>
      </w:r>
      <w:r w:rsidRPr="005959A4">
        <w:rPr>
          <w:rFonts w:ascii="Avenir Book" w:hAnsi="Avenir Book"/>
          <w:i/>
        </w:rPr>
        <w:t xml:space="preserve"> </w:t>
      </w:r>
      <w:r w:rsidRPr="005959A4">
        <w:rPr>
          <w:rFonts w:ascii="Avenir Book" w:hAnsi="Avenir Book"/>
        </w:rPr>
        <w:t xml:space="preserve">Karen Fredriksen-Goldsen, et al., </w:t>
      </w:r>
      <w:r w:rsidRPr="005959A4">
        <w:rPr>
          <w:rFonts w:ascii="Avenir Book" w:hAnsi="Avenir Book"/>
          <w:i/>
        </w:rPr>
        <w:t>Physical and Mental Health of Transgender Older Adults: An At-Risk and Underserved Population</w:t>
      </w:r>
      <w:r w:rsidRPr="005959A4">
        <w:rPr>
          <w:rFonts w:ascii="Avenir Book" w:hAnsi="Avenir Book"/>
        </w:rPr>
        <w:t xml:space="preserve">, 54 </w:t>
      </w:r>
      <w:r w:rsidRPr="005959A4">
        <w:rPr>
          <w:rFonts w:ascii="Avenir Book" w:hAnsi="Avenir Book"/>
          <w:smallCaps/>
        </w:rPr>
        <w:t>The Gerontologist</w:t>
      </w:r>
      <w:r w:rsidRPr="005959A4">
        <w:rPr>
          <w:rFonts w:ascii="Avenir Book" w:hAnsi="Avenir Book"/>
        </w:rPr>
        <w:t xml:space="preserve"> 488</w:t>
      </w:r>
      <w:r w:rsidRPr="005959A4">
        <w:rPr>
          <w:rFonts w:ascii="Avenir Book" w:hAnsi="Avenir Book"/>
          <w:iCs/>
        </w:rPr>
        <w:t xml:space="preserve"> </w:t>
      </w:r>
      <w:r w:rsidRPr="005959A4">
        <w:rPr>
          <w:rFonts w:ascii="Avenir Book" w:hAnsi="Avenir Book"/>
        </w:rPr>
        <w:t xml:space="preserve">(2013); Karen I. Fredriksen-Goldsen, et al., </w:t>
      </w:r>
      <w:r w:rsidRPr="005959A4">
        <w:rPr>
          <w:rFonts w:ascii="Avenir Book" w:hAnsi="Avenir Book"/>
          <w:i/>
        </w:rPr>
        <w:t>The Aging and Health Report: Disparities and Resilience Among Lesbian, Gay, Bisexual, and Transgender Older Adults</w:t>
      </w:r>
      <w:r w:rsidRPr="005959A4">
        <w:rPr>
          <w:rFonts w:ascii="Avenir Book" w:hAnsi="Avenir Book"/>
        </w:rPr>
        <w:t xml:space="preserve">, </w:t>
      </w:r>
      <w:r w:rsidRPr="005959A4">
        <w:rPr>
          <w:rFonts w:ascii="Avenir Book" w:hAnsi="Avenir Book"/>
          <w:smallCaps/>
        </w:rPr>
        <w:t>Inst. for Multigenerational Health</w:t>
      </w:r>
      <w:r w:rsidRPr="005959A4">
        <w:rPr>
          <w:rFonts w:ascii="Avenir Book" w:hAnsi="Avenir Book"/>
        </w:rPr>
        <w:t xml:space="preserve"> (2011), http://depts.washington.edu/agepride/wordpress/wp-content/uploads/2012/10/Full-report10-25-12.pdf.</w:t>
      </w:r>
    </w:p>
  </w:endnote>
  <w:endnote w:id="9">
    <w:p w14:paraId="37A8EE57" w14:textId="3E179A57"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57–58.  </w:t>
      </w:r>
    </w:p>
  </w:endnote>
  <w:endnote w:id="10">
    <w:p w14:paraId="3E0E6D89" w14:textId="6997DCBF"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 xml:space="preserve">at 247. For all major life activities referenced in this survey, </w:t>
      </w:r>
      <w:r w:rsidRPr="005959A4">
        <w:rPr>
          <w:rFonts w:ascii="Avenir Book" w:hAnsi="Avenir Book"/>
          <w:i/>
        </w:rPr>
        <w:t>see</w:t>
      </w:r>
      <w:r w:rsidRPr="005959A4">
        <w:rPr>
          <w:rFonts w:ascii="Avenir Book" w:hAnsi="Avenir Book"/>
        </w:rPr>
        <w:t xml:space="preserve"> </w:t>
      </w:r>
      <w:r w:rsidRPr="005959A4">
        <w:rPr>
          <w:rFonts w:ascii="Avenir Book" w:hAnsi="Avenir Book"/>
          <w:i/>
        </w:rPr>
        <w:t xml:space="preserve">infra </w:t>
      </w:r>
      <w:r w:rsidRPr="005959A4">
        <w:rPr>
          <w:rFonts w:ascii="Avenir Book" w:hAnsi="Avenir Book"/>
        </w:rPr>
        <w:t xml:space="preserve">Figure 1. </w:t>
      </w:r>
    </w:p>
  </w:endnote>
  <w:endnote w:id="11">
    <w:p w14:paraId="62E61FB8" w14:textId="222D4863"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58, 247.</w:t>
      </w:r>
    </w:p>
  </w:endnote>
  <w:endnote w:id="12">
    <w:p w14:paraId="20770A54" w14:textId="5C240299"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Grant,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_Ref386190230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6</w:t>
      </w:r>
      <w:r w:rsidRPr="005959A4">
        <w:rPr>
          <w:rFonts w:ascii="Avenir Book" w:hAnsi="Avenir Book"/>
        </w:rPr>
        <w:fldChar w:fldCharType="end"/>
      </w:r>
      <w:r w:rsidRPr="005959A4">
        <w:rPr>
          <w:rFonts w:ascii="Avenir Book" w:hAnsi="Avenir Book"/>
        </w:rPr>
        <w:t xml:space="preserve">, at 23. “Disability” for purposes of this study is defined as “a physical disability or mental health condition that substantially affects a major life activity.” </w:t>
      </w:r>
      <w:r w:rsidRPr="005959A4">
        <w:rPr>
          <w:rFonts w:ascii="Avenir Book" w:hAnsi="Avenir Book"/>
          <w:i/>
        </w:rPr>
        <w:t xml:space="preserve">Id. </w:t>
      </w:r>
    </w:p>
  </w:endnote>
  <w:endnote w:id="13">
    <w:p w14:paraId="3A199949" w14:textId="32743D43"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smallCaps/>
        </w:rPr>
        <w:t>Inst. of Med.</w:t>
      </w:r>
      <w:r w:rsidRPr="005959A4">
        <w:rPr>
          <w:rFonts w:ascii="Avenir Book" w:hAnsi="Avenir Book"/>
        </w:rPr>
        <w:t xml:space="preserve">,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_Ref386279113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7</w:t>
      </w:r>
      <w:r w:rsidRPr="005959A4">
        <w:rPr>
          <w:rFonts w:ascii="Avenir Book" w:hAnsi="Avenir Book"/>
        </w:rPr>
        <w:fldChar w:fldCharType="end"/>
      </w:r>
      <w:r w:rsidRPr="005959A4">
        <w:rPr>
          <w:rFonts w:ascii="Avenir Book" w:hAnsi="Avenir Book"/>
        </w:rPr>
        <w:t xml:space="preserve">, at 267 (citing Lorree Cook-Daniels &amp; Michael Munson, </w:t>
      </w:r>
      <w:r w:rsidRPr="005959A4">
        <w:rPr>
          <w:rFonts w:ascii="Avenir Book" w:hAnsi="Avenir Book"/>
          <w:i/>
        </w:rPr>
        <w:t>Sexual Violence, Elder Abuse, and Sexuality of Transgender Adults, Age 50+: Results of Three Surveys</w:t>
      </w:r>
      <w:r w:rsidRPr="005959A4">
        <w:rPr>
          <w:rFonts w:ascii="Avenir Book" w:hAnsi="Avenir Book"/>
        </w:rPr>
        <w:t xml:space="preserve">, 6 </w:t>
      </w:r>
      <w:r w:rsidRPr="005959A4">
        <w:rPr>
          <w:rFonts w:ascii="Avenir Book" w:hAnsi="Avenir Book"/>
          <w:smallCaps/>
        </w:rPr>
        <w:t>J. GLBT Fam. Stud.</w:t>
      </w:r>
      <w:r w:rsidRPr="005959A4">
        <w:rPr>
          <w:rFonts w:ascii="Avenir Book" w:hAnsi="Avenir Book"/>
        </w:rPr>
        <w:t xml:space="preserve"> 142 (2010)).</w:t>
      </w:r>
    </w:p>
  </w:endnote>
  <w:endnote w:id="14">
    <w:p w14:paraId="2085548C" w14:textId="46649398"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Fredriksen-Goldsen, et al.,</w:t>
      </w:r>
      <w:r w:rsidRPr="005959A4">
        <w:rPr>
          <w:rFonts w:ascii="Avenir Book" w:hAnsi="Avenir Book"/>
          <w:i/>
        </w:rPr>
        <w:t xml:space="preserve"> Physical and Mental Health of Transgender Older Adults</w:t>
      </w:r>
      <w:r w:rsidRPr="005959A4">
        <w:rPr>
          <w:rFonts w:ascii="Avenir Book" w:hAnsi="Avenir Book"/>
        </w:rPr>
        <w:t>,</w:t>
      </w:r>
      <w:r w:rsidRPr="005959A4">
        <w:rPr>
          <w:rFonts w:ascii="Avenir Book" w:hAnsi="Avenir Book"/>
          <w:i/>
        </w:rPr>
        <w:t xml:space="preserve"> 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_Ref386193006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8</w:t>
      </w:r>
      <w:r w:rsidRPr="005959A4">
        <w:rPr>
          <w:rFonts w:ascii="Avenir Book" w:hAnsi="Avenir Book"/>
        </w:rPr>
        <w:fldChar w:fldCharType="end"/>
      </w:r>
      <w:r w:rsidRPr="005959A4">
        <w:rPr>
          <w:rFonts w:ascii="Avenir Book" w:hAnsi="Avenir Book"/>
        </w:rPr>
        <w:t>, at</w:t>
      </w:r>
      <w:r w:rsidRPr="005959A4">
        <w:rPr>
          <w:rFonts w:ascii="Avenir Book" w:hAnsi="Avenir Book"/>
          <w:i/>
        </w:rPr>
        <w:t xml:space="preserve"> </w:t>
      </w:r>
      <w:r w:rsidRPr="005959A4">
        <w:rPr>
          <w:rFonts w:ascii="Avenir Book" w:hAnsi="Avenir Book"/>
        </w:rPr>
        <w:t xml:space="preserve">494. “Disability” for purposes of this study is defined as “being limited in any activities due to physical, mental, or emotional problems, or having any health problem that requires the use of special equipment (e.g. cane, special telephone), based on the definition recommended by Healthy People 2010.” </w:t>
      </w:r>
      <w:r w:rsidRPr="005959A4">
        <w:rPr>
          <w:rFonts w:ascii="Avenir Book" w:hAnsi="Avenir Book"/>
          <w:i/>
        </w:rPr>
        <w:t>Id.</w:t>
      </w:r>
      <w:r w:rsidRPr="005959A4">
        <w:rPr>
          <w:rFonts w:ascii="Avenir Book" w:hAnsi="Avenir Book"/>
        </w:rPr>
        <w:t xml:space="preserve"> at 61.</w:t>
      </w:r>
    </w:p>
  </w:endnote>
  <w:endnote w:id="15">
    <w:p w14:paraId="0535DEEF" w14:textId="56B55540" w:rsidR="005959A4" w:rsidRPr="005959A4" w:rsidRDefault="005959A4" w:rsidP="00B83E57">
      <w:pPr>
        <w:spacing w:before="240" w:after="240"/>
        <w:jc w:val="both"/>
        <w:rPr>
          <w:rFonts w:ascii="Avenir Book" w:hAnsi="Avenir Book"/>
          <w:b/>
          <w:color w:val="0000FF"/>
        </w:rPr>
      </w:pPr>
      <w:r w:rsidRPr="005959A4">
        <w:rPr>
          <w:rStyle w:val="EndnoteReference"/>
          <w:rFonts w:ascii="Avenir Book" w:hAnsi="Avenir Book"/>
        </w:rPr>
        <w:endnoteRef/>
      </w:r>
      <w:r w:rsidRPr="005959A4">
        <w:rPr>
          <w:rFonts w:ascii="Avenir Book" w:hAnsi="Avenir Book"/>
        </w:rPr>
        <w:t xml:space="preserve"> G. Nicole Rider, et al.,</w:t>
      </w:r>
      <w:r w:rsidRPr="005959A4">
        <w:rPr>
          <w:rFonts w:ascii="Avenir Book" w:hAnsi="Avenir Book"/>
          <w:b/>
          <w:color w:val="0000FF"/>
        </w:rPr>
        <w:t xml:space="preserve"> </w:t>
      </w:r>
      <w:r w:rsidRPr="005959A4">
        <w:rPr>
          <w:rFonts w:ascii="Avenir Book" w:hAnsi="Avenir Book"/>
          <w:i/>
          <w:color w:val="000000"/>
        </w:rPr>
        <w:t>Health and Care Utilization of Transgender and Gender Nonconforming Youth: A Population-Based Study</w:t>
      </w:r>
      <w:r w:rsidRPr="005959A4">
        <w:rPr>
          <w:rFonts w:ascii="Avenir Book" w:hAnsi="Avenir Book"/>
          <w:color w:val="000000"/>
        </w:rPr>
        <w:t xml:space="preserve">, 141 </w:t>
      </w:r>
      <w:r w:rsidRPr="005959A4">
        <w:rPr>
          <w:rFonts w:ascii="Avenir Book" w:hAnsi="Avenir Book"/>
          <w:smallCaps/>
          <w:color w:val="000000"/>
        </w:rPr>
        <w:t>Pediatrics</w:t>
      </w:r>
      <w:r w:rsidRPr="005959A4">
        <w:rPr>
          <w:rFonts w:ascii="Avenir Book" w:hAnsi="Avenir Book"/>
          <w:color w:val="000000"/>
        </w:rPr>
        <w:t>, no. 3, Mar. 2018, at 1, 4.</w:t>
      </w:r>
    </w:p>
  </w:endnote>
  <w:endnote w:id="16">
    <w:p w14:paraId="3322F338" w14:textId="73C6B4B9"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Barbara M. Altman &amp; Amy B. Bernstein, </w:t>
      </w:r>
      <w:r w:rsidRPr="005959A4">
        <w:rPr>
          <w:rFonts w:ascii="Avenir Book" w:hAnsi="Avenir Book"/>
          <w:i/>
        </w:rPr>
        <w:t>Disability and Health in the United States, 2001–2005</w:t>
      </w:r>
      <w:r w:rsidRPr="005959A4">
        <w:rPr>
          <w:rFonts w:ascii="Avenir Book" w:hAnsi="Avenir Book"/>
        </w:rPr>
        <w:t xml:space="preserve">, </w:t>
      </w:r>
      <w:r w:rsidRPr="005959A4">
        <w:rPr>
          <w:rFonts w:ascii="Avenir Book" w:hAnsi="Avenir Book"/>
          <w:smallCaps/>
        </w:rPr>
        <w:t>U.S. Dep’t of Health &amp; Human Servs., Ctrs. for Disease Control &amp; Prevention, Nat’l Ctr. for Health Statistics</w:t>
      </w:r>
      <w:r w:rsidRPr="005959A4">
        <w:rPr>
          <w:rFonts w:ascii="Avenir Book" w:hAnsi="Avenir Book"/>
        </w:rPr>
        <w:t xml:space="preserve"> 61 (2008), </w:t>
      </w:r>
      <w:r w:rsidRPr="005959A4">
        <w:rPr>
          <w:rFonts w:ascii="Avenir Book" w:hAnsi="Avenir Book"/>
          <w:i/>
        </w:rPr>
        <w:t>available at</w:t>
      </w:r>
      <w:r w:rsidRPr="005959A4">
        <w:rPr>
          <w:rFonts w:ascii="Avenir Book" w:hAnsi="Avenir Book"/>
        </w:rPr>
        <w:t xml:space="preserve"> https://www.cdc.gov/nchs/data/misc/disability2001-2005.pdf (measured by “basic actions difficulty,” or rather, “noninstitutionalized adults with respondent-reported difficulties in movement or sensory, emotional, or cognitive functioning that is associated with some health problem.”); </w:t>
      </w:r>
      <w:r w:rsidRPr="005959A4">
        <w:rPr>
          <w:rFonts w:ascii="Avenir Book" w:hAnsi="Avenir Book"/>
          <w:i/>
        </w:rPr>
        <w:t xml:space="preserve">see also </w:t>
      </w:r>
      <w:r w:rsidRPr="005959A4">
        <w:rPr>
          <w:rFonts w:ascii="Avenir Book" w:hAnsi="Avenir Book"/>
        </w:rPr>
        <w:t xml:space="preserve">Yee,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11.</w:t>
      </w:r>
    </w:p>
  </w:endnote>
  <w:endnote w:id="17">
    <w:p w14:paraId="30CF21F0" w14:textId="6673C2DC"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Yee,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 xml:space="preserve">17 (citing National Institute of Mental Health, </w:t>
      </w:r>
      <w:r w:rsidRPr="005959A4">
        <w:rPr>
          <w:rFonts w:ascii="Avenir Book" w:hAnsi="Avenir Book"/>
          <w:i/>
          <w:iCs/>
        </w:rPr>
        <w:t>Statistics</w:t>
      </w:r>
      <w:r w:rsidRPr="005959A4">
        <w:rPr>
          <w:rFonts w:ascii="Avenir Book" w:hAnsi="Avenir Book"/>
          <w:iCs/>
        </w:rPr>
        <w:t xml:space="preserve"> (Aug. 31, 2016), https://www.nimh.nih.gov/health/statistics/index.shtml).</w:t>
      </w:r>
    </w:p>
  </w:endnote>
  <w:endnote w:id="18">
    <w:p w14:paraId="5EEEC760" w14:textId="70EEBB99"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57.</w:t>
      </w:r>
    </w:p>
  </w:endnote>
  <w:endnote w:id="19">
    <w:p w14:paraId="0D680EA4" w14:textId="7774CD62"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20">
    <w:p w14:paraId="52F7393A" w14:textId="70AE060B"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21">
    <w:p w14:paraId="230AAEBD" w14:textId="3C0E5D78"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Rider,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_Ref386352140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15</w:t>
      </w:r>
      <w:r w:rsidRPr="005959A4">
        <w:rPr>
          <w:rFonts w:ascii="Avenir Book" w:hAnsi="Avenir Book"/>
        </w:rPr>
        <w:fldChar w:fldCharType="end"/>
      </w:r>
      <w:r w:rsidRPr="005959A4">
        <w:rPr>
          <w:rFonts w:ascii="Avenir Book" w:hAnsi="Avenir Book"/>
        </w:rPr>
        <w:t>, at 4.</w:t>
      </w:r>
    </w:p>
  </w:endnote>
  <w:endnote w:id="22">
    <w:p w14:paraId="6BDE49EC" w14:textId="2DD07AA5"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Fredriksen-Goldsen, et al.,</w:t>
      </w:r>
      <w:r w:rsidRPr="005959A4">
        <w:rPr>
          <w:rFonts w:ascii="Avenir Book" w:hAnsi="Avenir Book"/>
          <w:i/>
        </w:rPr>
        <w:t xml:space="preserve"> The Aging and Health Report</w:t>
      </w:r>
      <w:r w:rsidRPr="005959A4">
        <w:rPr>
          <w:rFonts w:ascii="Avenir Book" w:hAnsi="Avenir Book"/>
        </w:rPr>
        <w:t>,</w:t>
      </w:r>
      <w:r w:rsidRPr="005959A4">
        <w:rPr>
          <w:rFonts w:ascii="Avenir Book" w:hAnsi="Avenir Book"/>
          <w:i/>
        </w:rPr>
        <w:t xml:space="preserve"> 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_Ref386193006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8</w:t>
      </w:r>
      <w:r w:rsidRPr="005959A4">
        <w:rPr>
          <w:rFonts w:ascii="Avenir Book" w:hAnsi="Avenir Book"/>
        </w:rPr>
        <w:fldChar w:fldCharType="end"/>
      </w:r>
      <w:r w:rsidRPr="005959A4">
        <w:rPr>
          <w:rFonts w:ascii="Avenir Book" w:hAnsi="Avenir Book"/>
        </w:rPr>
        <w:t>, at</w:t>
      </w:r>
      <w:r w:rsidRPr="005959A4">
        <w:rPr>
          <w:rFonts w:ascii="Avenir Book" w:hAnsi="Avenir Book"/>
          <w:i/>
        </w:rPr>
        <w:t xml:space="preserve"> </w:t>
      </w:r>
      <w:r w:rsidRPr="005959A4">
        <w:rPr>
          <w:rFonts w:ascii="Avenir Book" w:hAnsi="Avenir Book"/>
        </w:rPr>
        <w:t>26–27.</w:t>
      </w:r>
    </w:p>
  </w:endnote>
  <w:endnote w:id="23">
    <w:p w14:paraId="01EAEBA4" w14:textId="71AA7AC0"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See </w:t>
      </w:r>
      <w:r w:rsidRPr="005959A4">
        <w:rPr>
          <w:rFonts w:ascii="Avenir Book" w:hAnsi="Avenir Book"/>
        </w:rPr>
        <w:t xml:space="preserve">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w:t>
      </w:r>
    </w:p>
  </w:endnote>
  <w:endnote w:id="24">
    <w:p w14:paraId="7D0C4226" w14:textId="5D436F2E"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103–14.</w:t>
      </w:r>
    </w:p>
  </w:endnote>
  <w:endnote w:id="25">
    <w:p w14:paraId="1E563C85" w14:textId="7B85649E"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107.</w:t>
      </w:r>
    </w:p>
  </w:endnote>
  <w:endnote w:id="26">
    <w:p w14:paraId="5BC35D4F" w14:textId="12349FC5"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105.</w:t>
      </w:r>
    </w:p>
  </w:endnote>
  <w:endnote w:id="27">
    <w:p w14:paraId="34DD5ABD" w14:textId="20FA1594"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28">
    <w:p w14:paraId="5832D5AA" w14:textId="77777777"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112, 114.</w:t>
      </w:r>
    </w:p>
  </w:endnote>
  <w:endnote w:id="29">
    <w:p w14:paraId="7A11A240" w14:textId="67EB0298"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30">
    <w:p w14:paraId="3D8BEA01" w14:textId="72C6718A"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31">
    <w:p w14:paraId="421A7D11" w14:textId="6C020A7B"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NCTE has invited applications for secondary data analyses of the 2015 U.S. Transgender Survey.</w:t>
      </w:r>
    </w:p>
  </w:endnote>
  <w:endnote w:id="32">
    <w:p w14:paraId="5F450B75" w14:textId="3393E0AE"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See, e.g.</w:t>
      </w:r>
      <w:r w:rsidRPr="005959A4">
        <w:rPr>
          <w:rFonts w:ascii="Avenir Book" w:hAnsi="Avenir Book"/>
        </w:rPr>
        <w:t xml:space="preserve">, </w:t>
      </w:r>
      <w:r w:rsidRPr="005959A4">
        <w:rPr>
          <w:rFonts w:ascii="Avenir Book" w:hAnsi="Avenir Book" w:cs="Arial"/>
          <w:smallCaps/>
        </w:rPr>
        <w:t xml:space="preserve">Nat’l Acads. Sci., Eng’g, &amp; Med.,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 xml:space="preserve">99–164 (“The Root Causes of Health Inequity”); </w:t>
      </w:r>
      <w:r w:rsidRPr="005959A4">
        <w:rPr>
          <w:rFonts w:ascii="Avenir Book" w:hAnsi="Avenir Book"/>
        </w:rPr>
        <w:t xml:space="preserve">Yee,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22–36.</w:t>
      </w:r>
    </w:p>
  </w:endnote>
  <w:endnote w:id="33">
    <w:p w14:paraId="63CE3AF9" w14:textId="01A4B01F"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See, e.g.</w:t>
      </w:r>
      <w:r w:rsidRPr="005959A4">
        <w:rPr>
          <w:rFonts w:ascii="Avenir Book" w:hAnsi="Avenir Book"/>
        </w:rPr>
        <w:t xml:space="preserve">, </w:t>
      </w:r>
      <w:r w:rsidRPr="005959A4">
        <w:rPr>
          <w:rFonts w:ascii="Avenir Book" w:hAnsi="Avenir Book" w:cs="Arial"/>
          <w:smallCaps/>
        </w:rPr>
        <w:t xml:space="preserve">Nat’l Acads. Sci., Eng’g, &amp; Med.,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 xml:space="preserve">99–164; </w:t>
      </w:r>
      <w:r w:rsidRPr="005959A4">
        <w:rPr>
          <w:rFonts w:ascii="Avenir Book" w:hAnsi="Avenir Book"/>
        </w:rPr>
        <w:t xml:space="preserve">Yee,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22–36.</w:t>
      </w:r>
    </w:p>
  </w:endnote>
  <w:endnote w:id="34">
    <w:p w14:paraId="49B5FD9C" w14:textId="32573CC2"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97. </w:t>
      </w:r>
    </w:p>
  </w:endnote>
  <w:endnote w:id="35">
    <w:p w14:paraId="65CF1A25" w14:textId="77777777"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36">
    <w:p w14:paraId="552ADA6D" w14:textId="0D619B22"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Shanna K. Kattari, et al., </w:t>
      </w:r>
      <w:r w:rsidRPr="005959A4">
        <w:rPr>
          <w:rFonts w:ascii="Avenir Book" w:hAnsi="Avenir Book"/>
          <w:i/>
        </w:rPr>
        <w:t>Differences in Experiences of Discrimination in Accessing Social Services Among Transgender/ Gender Nonconforming Individuals by (Dis)Ability</w:t>
      </w:r>
      <w:r w:rsidRPr="005959A4">
        <w:rPr>
          <w:rFonts w:ascii="Avenir Book" w:hAnsi="Avenir Book"/>
        </w:rPr>
        <w:t xml:space="preserve">, 16 </w:t>
      </w:r>
      <w:r w:rsidRPr="005959A4">
        <w:rPr>
          <w:rFonts w:ascii="Avenir Book" w:hAnsi="Avenir Book"/>
          <w:smallCaps/>
        </w:rPr>
        <w:t>J. Soc. Work in Disability &amp; Rehabilitation</w:t>
      </w:r>
      <w:r w:rsidRPr="005959A4">
        <w:rPr>
          <w:rFonts w:ascii="Avenir Book" w:hAnsi="Avenir Book"/>
        </w:rPr>
        <w:t xml:space="preserve"> 116, 125–26 (2017).</w:t>
      </w:r>
    </w:p>
  </w:endnote>
  <w:endnote w:id="37">
    <w:p w14:paraId="680A7165" w14:textId="77777777"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38">
    <w:p w14:paraId="749C0411" w14:textId="63BFC1B0"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98.</w:t>
      </w:r>
    </w:p>
  </w:endnote>
  <w:endnote w:id="39">
    <w:p w14:paraId="7AE7DF49" w14:textId="76C6A89C"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144.</w:t>
      </w:r>
    </w:p>
  </w:endnote>
  <w:endnote w:id="40">
    <w:p w14:paraId="0A4846BC" w14:textId="35193ABE"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141–42.</w:t>
      </w:r>
    </w:p>
  </w:endnote>
  <w:endnote w:id="41">
    <w:p w14:paraId="49F87124" w14:textId="64EC7B78"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141, 149–51, 154.</w:t>
      </w:r>
    </w:p>
  </w:endnote>
  <w:endnote w:id="42">
    <w:p w14:paraId="60DD8818" w14:textId="2EA96DEC"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cs="Arial"/>
          <w:smallCaps/>
        </w:rPr>
        <w:t xml:space="preserve">Nat’l Acads. Sci., Eng’g, &amp; Med.,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118.</w:t>
      </w:r>
    </w:p>
  </w:endnote>
  <w:endnote w:id="43">
    <w:p w14:paraId="4FCDBD77" w14:textId="2B81F4EB"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180.</w:t>
      </w:r>
    </w:p>
  </w:endnote>
  <w:endnote w:id="44">
    <w:p w14:paraId="1B9BE61E" w14:textId="40D0F1BC"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cs="Arial"/>
          <w:smallCaps/>
        </w:rPr>
        <w:t xml:space="preserve">Nat’l Acads. Sci., Eng’g, &amp; Med.,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119.</w:t>
      </w:r>
    </w:p>
  </w:endnote>
  <w:endnote w:id="45">
    <w:p w14:paraId="50C68B50" w14:textId="036A67D1"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132. </w:t>
      </w:r>
    </w:p>
  </w:endnote>
  <w:endnote w:id="46">
    <w:p w14:paraId="42E00EF3" w14:textId="4CD1E0A9" w:rsidR="005959A4" w:rsidRPr="005959A4" w:rsidRDefault="005959A4" w:rsidP="00B83E57">
      <w:pPr>
        <w:pStyle w:val="EndnoteText"/>
        <w:spacing w:before="240" w:after="240"/>
        <w:jc w:val="both"/>
        <w:rPr>
          <w:rFonts w:ascii="Avenir Book" w:hAnsi="Avenir Book"/>
          <w:i/>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p>
  </w:endnote>
  <w:endnote w:id="47">
    <w:p w14:paraId="363445E4" w14:textId="164EA989"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cs="Arial"/>
          <w:smallCaps/>
        </w:rPr>
        <w:t xml:space="preserve">Nat’l Acads. Sci., Eng’g, &amp; Med.,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118.</w:t>
      </w:r>
    </w:p>
  </w:endnote>
  <w:endnote w:id="48">
    <w:p w14:paraId="1693984D" w14:textId="141EAF4B"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198.</w:t>
      </w:r>
    </w:p>
  </w:endnote>
  <w:endnote w:id="49">
    <w:p w14:paraId="77619FA2" w14:textId="618D81A5"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215–20.</w:t>
      </w:r>
    </w:p>
  </w:endnote>
  <w:endnote w:id="50">
    <w:p w14:paraId="6870B351" w14:textId="77270911"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Id. </w:t>
      </w:r>
      <w:r w:rsidRPr="005959A4">
        <w:rPr>
          <w:rFonts w:ascii="Avenir Book" w:hAnsi="Avenir Book"/>
        </w:rPr>
        <w:t>at 205–06.</w:t>
      </w:r>
    </w:p>
  </w:endnote>
  <w:endnote w:id="51">
    <w:p w14:paraId="2714E64D" w14:textId="04AB430C"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cs="Arial"/>
          <w:smallCaps/>
        </w:rPr>
        <w:t xml:space="preserve">Nat’l Acads. Sci., Eng’g, &amp; Med.,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119.</w:t>
      </w:r>
    </w:p>
  </w:endnote>
  <w:endnote w:id="52">
    <w:p w14:paraId="5C4F85AE" w14:textId="2DFA6443"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James et al.,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at 6.</w:t>
      </w:r>
    </w:p>
  </w:endnote>
  <w:endnote w:id="53">
    <w:p w14:paraId="3FADD615" w14:textId="65EEB951" w:rsidR="005959A4" w:rsidRPr="005959A4" w:rsidRDefault="005959A4" w:rsidP="00B83E57">
      <w:pPr>
        <w:pStyle w:val="EndnoteText"/>
        <w:spacing w:before="240" w:after="240"/>
        <w:jc w:val="both"/>
        <w:rPr>
          <w:rFonts w:ascii="Avenir Book" w:hAnsi="Avenir Book"/>
        </w:rPr>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 xml:space="preserve">See </w:t>
      </w:r>
      <w:r w:rsidRPr="005959A4">
        <w:rPr>
          <w:rFonts w:ascii="Avenir Book" w:hAnsi="Avenir Book"/>
        </w:rPr>
        <w:t xml:space="preserve">Yee, </w:t>
      </w:r>
      <w:r w:rsidRPr="005959A4">
        <w:rPr>
          <w:rFonts w:ascii="Avenir Book" w:hAnsi="Avenir Book"/>
          <w:i/>
        </w:rPr>
        <w:t xml:space="preserve">supra </w:t>
      </w:r>
      <w:r w:rsidRPr="005959A4">
        <w:rPr>
          <w:rFonts w:ascii="Avenir Book" w:hAnsi="Avenir Book"/>
        </w:rPr>
        <w:t xml:space="preserve">note </w:t>
      </w:r>
      <w:r w:rsidRPr="005959A4">
        <w:rPr>
          <w:rFonts w:ascii="Avenir Book" w:hAnsi="Avenir Book"/>
        </w:rPr>
        <w:fldChar w:fldCharType="begin"/>
      </w:r>
      <w:r w:rsidRPr="005959A4">
        <w:rPr>
          <w:rFonts w:ascii="Avenir Book" w:hAnsi="Avenir Book"/>
        </w:rPr>
        <w:instrText xml:space="preserve"> NOTEREF _Ref386443624 \h  \* MERGEFORMAT </w:instrText>
      </w:r>
      <w:r w:rsidRPr="005959A4">
        <w:rPr>
          <w:rFonts w:ascii="Avenir Book" w:hAnsi="Avenir Book"/>
        </w:rPr>
      </w:r>
      <w:r w:rsidRPr="005959A4">
        <w:rPr>
          <w:rFonts w:ascii="Avenir Book" w:hAnsi="Avenir Book"/>
        </w:rPr>
        <w:fldChar w:fldCharType="separate"/>
      </w:r>
      <w:r w:rsidR="00DB26DE">
        <w:rPr>
          <w:rFonts w:ascii="Avenir Book" w:hAnsi="Avenir Book"/>
        </w:rPr>
        <w:t>1</w:t>
      </w:r>
      <w:r w:rsidRPr="005959A4">
        <w:rPr>
          <w:rFonts w:ascii="Avenir Book" w:hAnsi="Avenir Book"/>
        </w:rPr>
        <w:fldChar w:fldCharType="end"/>
      </w:r>
      <w:r w:rsidRPr="005959A4">
        <w:rPr>
          <w:rFonts w:ascii="Avenir Book" w:hAnsi="Avenir Book"/>
        </w:rPr>
        <w:t xml:space="preserve">, at </w:t>
      </w:r>
      <w:r w:rsidRPr="005959A4">
        <w:rPr>
          <w:rFonts w:ascii="Avenir Book" w:hAnsi="Avenir Book"/>
          <w:iCs/>
        </w:rPr>
        <w:t xml:space="preserve">140 </w:t>
      </w:r>
      <w:r w:rsidRPr="005959A4">
        <w:rPr>
          <w:rFonts w:ascii="Avenir Book" w:hAnsi="Avenir Book"/>
        </w:rPr>
        <w:t>(positing that these factors also attribute to the lack of research on health disparities at the intersection of disability, race, and ethnicity).</w:t>
      </w:r>
    </w:p>
  </w:endnote>
  <w:endnote w:id="54">
    <w:p w14:paraId="2EA1C280" w14:textId="41720F8B" w:rsidR="005959A4" w:rsidRPr="005959A4" w:rsidRDefault="005959A4" w:rsidP="00B83E57">
      <w:pPr>
        <w:pStyle w:val="EndnoteText"/>
        <w:spacing w:before="240" w:after="240"/>
        <w:jc w:val="both"/>
      </w:pPr>
      <w:r w:rsidRPr="005959A4">
        <w:rPr>
          <w:rStyle w:val="EndnoteReference"/>
          <w:rFonts w:ascii="Avenir Book" w:hAnsi="Avenir Book"/>
        </w:rPr>
        <w:endnoteRef/>
      </w:r>
      <w:r w:rsidRPr="005959A4">
        <w:rPr>
          <w:rFonts w:ascii="Avenir Book" w:hAnsi="Avenir Book"/>
        </w:rPr>
        <w:t xml:space="preserve"> </w:t>
      </w:r>
      <w:r w:rsidRPr="005959A4">
        <w:rPr>
          <w:rFonts w:ascii="Avenir Book" w:hAnsi="Avenir Book"/>
          <w:i/>
        </w:rPr>
        <w:t>Id.</w:t>
      </w:r>
      <w:r w:rsidRPr="005959A4">
        <w:rPr>
          <w:rFonts w:ascii="Avenir Book" w:hAnsi="Avenir Book"/>
        </w:rPr>
        <w:t xml:space="preserve"> at 57–58.</w:t>
      </w:r>
      <w:r w:rsidRPr="005959A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yriad Pro Condensed">
    <w:panose1 w:val="020B0506030403020204"/>
    <w:charset w:val="00"/>
    <w:family w:val="swiss"/>
    <w:notTrueType/>
    <w:pitch w:val="variable"/>
    <w:sig w:usb0="A00002AF" w:usb1="5000204B" w:usb2="00000000" w:usb3="00000000" w:csb0="0000009F" w:csb1="00000000"/>
  </w:font>
  <w:font w:name="Myriad Pro Cond">
    <w:altName w:val="Calibri"/>
    <w:panose1 w:val="020B0506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9A2D" w14:textId="77777777" w:rsidR="0076406F" w:rsidRDefault="0076406F" w:rsidP="00B21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F38117" w14:textId="77777777" w:rsidR="0076406F" w:rsidRDefault="00764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DA95" w14:textId="4B16B5CC" w:rsidR="0076406F" w:rsidRPr="0027583A" w:rsidRDefault="0076406F" w:rsidP="00B21C14">
    <w:pPr>
      <w:widowControl w:val="0"/>
      <w:tabs>
        <w:tab w:val="left" w:pos="7380"/>
        <w:tab w:val="left" w:pos="7920"/>
      </w:tabs>
      <w:autoSpaceDE w:val="0"/>
      <w:autoSpaceDN w:val="0"/>
      <w:adjustRightInd w:val="0"/>
      <w:spacing w:line="312" w:lineRule="auto"/>
      <w:ind w:left="-720" w:right="-720"/>
      <w:jc w:val="center"/>
      <w:rPr>
        <w:bCs/>
        <w:spacing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2F83" w14:textId="040EE1FC" w:rsidR="0076406F" w:rsidRPr="00E90FA4" w:rsidRDefault="0076406F" w:rsidP="003A78F0">
    <w:pPr>
      <w:widowControl w:val="0"/>
      <w:tabs>
        <w:tab w:val="left" w:pos="10080"/>
      </w:tabs>
      <w:autoSpaceDE w:val="0"/>
      <w:autoSpaceDN w:val="0"/>
      <w:adjustRightInd w:val="0"/>
      <w:spacing w:line="288" w:lineRule="auto"/>
      <w:ind w:left="-720" w:right="-720"/>
      <w:jc w:val="center"/>
      <w:rPr>
        <w:rFonts w:ascii="Myriad Pro Condensed" w:hAnsi="Myriad Pro Condensed" w:cs="Myriad Pro Cond"/>
        <w:bCs/>
        <w:color w:val="FFFFFF"/>
        <w:spacing w:val="6"/>
        <w:sz w:val="6"/>
        <w:szCs w:val="26"/>
      </w:rPr>
    </w:pPr>
    <w:r w:rsidRPr="00E90FA4">
      <w:rPr>
        <w:rFonts w:ascii="Myriad Pro Condensed" w:hAnsi="Myriad Pro Condensed"/>
        <w:noProof/>
      </w:rPr>
      <mc:AlternateContent>
        <mc:Choice Requires="wps">
          <w:drawing>
            <wp:inline distT="0" distB="0" distL="0" distR="0" wp14:anchorId="40DD6A04" wp14:editId="0938E436">
              <wp:extent cx="6766560" cy="0"/>
              <wp:effectExtent l="0" t="0" r="15240" b="19050"/>
              <wp:docPr id="15" name="Straight Connector 15" descr="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6350" cap="flat" cmpd="sng" algn="ctr">
                        <a:solidFill>
                          <a:sysClr val="windowText" lastClr="000000"/>
                        </a:solidFill>
                        <a:prstDash val="solid"/>
                      </a:ln>
                      <a:effectLst/>
                    </wps:spPr>
                    <wps:bodyPr/>
                  </wps:wsp>
                </a:graphicData>
              </a:graphic>
            </wp:inline>
          </w:drawing>
        </mc:Choice>
        <mc:Fallback xmlns:mo="http://schemas.microsoft.com/office/mac/office/2008/main" xmlns:mv="urn:schemas-microsoft-com:mac:vml">
          <w:pict>
            <v:line id="Straight Connector 15" o:spid="_x0000_s1026" alt="Description: divider" style="visibility:visible;mso-wrap-style:square;mso-left-percent:-10001;mso-top-percent:-10001;mso-position-horizontal:absolute;mso-position-horizontal-relative:char;mso-position-vertical:absolute;mso-position-vertical-relative:line;mso-left-percent:-10001;mso-top-percent:-10001" from="0,0" to="532.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" strokecolor="windowText" strokeweight=".5pt">
              <o:lock v:ext="edit" shapetype="f"/>
              <w10:anchorlock/>
            </v:line>
          </w:pict>
        </mc:Fallback>
      </mc:AlternateContent>
    </w:r>
  </w:p>
  <w:p w14:paraId="40525F4D" w14:textId="6CFFD624" w:rsidR="0076406F" w:rsidRPr="00E90FA4" w:rsidRDefault="0076406F" w:rsidP="003A78F0">
    <w:pPr>
      <w:widowControl w:val="0"/>
      <w:tabs>
        <w:tab w:val="left" w:pos="10080"/>
      </w:tabs>
      <w:autoSpaceDE w:val="0"/>
      <w:autoSpaceDN w:val="0"/>
      <w:adjustRightInd w:val="0"/>
      <w:spacing w:line="312" w:lineRule="auto"/>
      <w:ind w:left="-720" w:right="-720"/>
      <w:jc w:val="center"/>
      <w:rPr>
        <w:rFonts w:ascii="Myriad Pro Condensed" w:hAnsi="Myriad Pro Condensed" w:cs="Myriad Pro Cond"/>
        <w:bCs/>
        <w:spacing w:val="14"/>
        <w:sz w:val="25"/>
        <w:szCs w:val="25"/>
      </w:rPr>
    </w:pPr>
    <w:r w:rsidRPr="00E90FA4">
      <w:rPr>
        <w:rFonts w:ascii="Myriad Pro Condensed" w:hAnsi="Myriad Pro Condensed" w:cs="Myriad Pro Cond"/>
        <w:spacing w:val="14"/>
        <w:sz w:val="25"/>
        <w:szCs w:val="25"/>
      </w:rPr>
      <w:t xml:space="preserve">3075 Adeline Street, Suite 210 </w:t>
    </w:r>
    <w:r w:rsidRPr="00E90FA4">
      <w:rPr>
        <w:rFonts w:ascii="Myriad Pro Condensed" w:hAnsi="Myriad Pro Condensed" w:cs="Myriad Pro Cond"/>
        <w:color w:val="CB0724"/>
        <w:spacing w:val="14"/>
        <w:sz w:val="25"/>
        <w:szCs w:val="25"/>
      </w:rPr>
      <w:t xml:space="preserve">• </w:t>
    </w:r>
    <w:r w:rsidRPr="00E90FA4">
      <w:rPr>
        <w:rFonts w:ascii="Myriad Pro Condensed" w:hAnsi="Myriad Pro Condensed" w:cs="Myriad Pro Cond"/>
        <w:spacing w:val="14"/>
        <w:sz w:val="25"/>
        <w:szCs w:val="25"/>
      </w:rPr>
      <w:t xml:space="preserve">Berkeley, CA 94703 </w:t>
    </w:r>
    <w:r w:rsidRPr="00E90FA4">
      <w:rPr>
        <w:rFonts w:ascii="Myriad Pro Condensed" w:hAnsi="Myriad Pro Condensed" w:cs="Myriad Pro Cond"/>
        <w:color w:val="CB0724"/>
        <w:spacing w:val="14"/>
        <w:sz w:val="25"/>
        <w:szCs w:val="25"/>
      </w:rPr>
      <w:t xml:space="preserve">• </w:t>
    </w:r>
    <w:r w:rsidRPr="00E90FA4">
      <w:rPr>
        <w:rFonts w:ascii="Myriad Pro Condensed" w:hAnsi="Myriad Pro Condensed" w:cs="Myriad Pro Cond"/>
        <w:spacing w:val="14"/>
        <w:sz w:val="25"/>
        <w:szCs w:val="25"/>
      </w:rPr>
      <w:t xml:space="preserve">510.644.2555 </w:t>
    </w:r>
    <w:r w:rsidRPr="00E90FA4">
      <w:rPr>
        <w:rFonts w:ascii="Myriad Pro Condensed" w:hAnsi="Myriad Pro Condensed" w:cs="Myriad Pro Cond"/>
        <w:color w:val="CB0724"/>
        <w:spacing w:val="14"/>
        <w:sz w:val="25"/>
        <w:szCs w:val="25"/>
      </w:rPr>
      <w:t xml:space="preserve">• </w:t>
    </w:r>
    <w:r w:rsidRPr="00E90FA4">
      <w:rPr>
        <w:rFonts w:ascii="Myriad Pro Condensed" w:hAnsi="Myriad Pro Condensed" w:cs="Myriad Pro Cond"/>
        <w:spacing w:val="14"/>
        <w:sz w:val="25"/>
        <w:szCs w:val="25"/>
      </w:rPr>
      <w:t>510.841.8645 fax/</w:t>
    </w:r>
    <w:proofErr w:type="spellStart"/>
    <w:r w:rsidRPr="00E90FA4">
      <w:rPr>
        <w:rFonts w:ascii="Myriad Pro Condensed" w:hAnsi="Myriad Pro Condensed" w:cs="Myriad Pro Cond"/>
        <w:spacing w:val="14"/>
        <w:sz w:val="25"/>
        <w:szCs w:val="25"/>
      </w:rPr>
      <w:t>tty</w:t>
    </w:r>
    <w:proofErr w:type="spellEnd"/>
    <w:r w:rsidRPr="00E90FA4">
      <w:rPr>
        <w:rFonts w:ascii="Myriad Pro Condensed" w:hAnsi="Myriad Pro Condensed" w:cs="Myriad Pro Cond"/>
        <w:spacing w:val="14"/>
        <w:sz w:val="25"/>
        <w:szCs w:val="25"/>
      </w:rPr>
      <w:t xml:space="preserve"> </w:t>
    </w:r>
    <w:r w:rsidRPr="00E90FA4">
      <w:rPr>
        <w:rFonts w:ascii="Myriad Pro Condensed" w:hAnsi="Myriad Pro Condensed" w:cs="Myriad Pro Cond"/>
        <w:color w:val="CB0724"/>
        <w:spacing w:val="14"/>
        <w:sz w:val="25"/>
        <w:szCs w:val="25"/>
      </w:rPr>
      <w:t xml:space="preserve">• </w:t>
    </w:r>
    <w:r w:rsidRPr="00E90FA4">
      <w:rPr>
        <w:rFonts w:ascii="Myriad Pro Condensed" w:hAnsi="Myriad Pro Condensed" w:cs="Myriad Pro Cond"/>
        <w:spacing w:val="14"/>
        <w:sz w:val="25"/>
        <w:szCs w:val="25"/>
      </w:rPr>
      <w:t>www.dredf.org</w:t>
    </w:r>
  </w:p>
  <w:p w14:paraId="05401430" w14:textId="6697AD67" w:rsidR="0076406F" w:rsidRPr="00C26DBC" w:rsidRDefault="0076406F" w:rsidP="003A78F0">
    <w:pPr>
      <w:widowControl w:val="0"/>
      <w:tabs>
        <w:tab w:val="left" w:pos="7380"/>
        <w:tab w:val="left" w:pos="7920"/>
      </w:tabs>
      <w:autoSpaceDE w:val="0"/>
      <w:autoSpaceDN w:val="0"/>
      <w:adjustRightInd w:val="0"/>
      <w:spacing w:line="312" w:lineRule="auto"/>
      <w:ind w:left="-720" w:right="-720"/>
      <w:jc w:val="center"/>
      <w:rPr>
        <w:rFonts w:ascii="Myriad Pro Condensed" w:hAnsi="Myriad Pro Condensed" w:cs="Myriad Pro Cond"/>
        <w:bCs/>
        <w:i/>
        <w:spacing w:val="12"/>
        <w:sz w:val="25"/>
        <w:szCs w:val="25"/>
      </w:rPr>
    </w:pPr>
    <w:r w:rsidRPr="00C26DBC">
      <w:rPr>
        <w:rFonts w:ascii="Myriad Pro Condensed" w:hAnsi="Myriad Pro Condensed" w:cs="Myriad Pro Cond"/>
        <w:i/>
        <w:iCs/>
        <w:color w:val="CB0724"/>
        <w:spacing w:val="12"/>
        <w:sz w:val="25"/>
        <w:szCs w:val="25"/>
      </w:rPr>
      <w:t>Doing disability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D1A7" w14:textId="77777777" w:rsidR="00F22F84" w:rsidRDefault="00F22F84" w:rsidP="00655EE2">
      <w:r>
        <w:separator/>
      </w:r>
    </w:p>
  </w:footnote>
  <w:footnote w:type="continuationSeparator" w:id="0">
    <w:p w14:paraId="1BE51496" w14:textId="77777777" w:rsidR="00F22F84" w:rsidRDefault="00F22F84" w:rsidP="00655EE2">
      <w:r>
        <w:continuationSeparator/>
      </w:r>
    </w:p>
  </w:footnote>
  <w:footnote w:type="continuationNotice" w:id="1">
    <w:p w14:paraId="26B1B5F1" w14:textId="77777777" w:rsidR="00F22F84" w:rsidRPr="00DB26DE" w:rsidRDefault="00F22F84">
      <w:pPr>
        <w:rPr>
          <w:sz w:val="8"/>
          <w:szCs w:val="8"/>
        </w:rPr>
      </w:pPr>
    </w:p>
  </w:footnote>
  <w:footnote w:id="2">
    <w:p w14:paraId="010D9893" w14:textId="1E129C1D" w:rsidR="00051877" w:rsidRPr="00821EEC" w:rsidRDefault="00051877" w:rsidP="00DD2416">
      <w:pPr>
        <w:pStyle w:val="FootnoteText"/>
        <w:keepLines/>
        <w:jc w:val="both"/>
        <w:rPr>
          <w:sz w:val="15"/>
        </w:rPr>
      </w:pPr>
      <w:r w:rsidRPr="00051877">
        <w:rPr>
          <w:rStyle w:val="FootnoteReference"/>
          <w:sz w:val="24"/>
        </w:rPr>
        <w:footnoteRef/>
      </w:r>
      <w:r w:rsidRPr="00051877">
        <w:rPr>
          <w:sz w:val="24"/>
        </w:rPr>
        <w:t xml:space="preserve"> </w:t>
      </w:r>
      <w:r w:rsidR="006A4E04">
        <w:rPr>
          <w:sz w:val="24"/>
        </w:rPr>
        <w:t>This paper was developed pursuant to a grant from</w:t>
      </w:r>
      <w:r w:rsidR="00B517C2">
        <w:rPr>
          <w:sz w:val="24"/>
        </w:rPr>
        <w:t xml:space="preserve"> t</w:t>
      </w:r>
      <w:r w:rsidRPr="00051877">
        <w:rPr>
          <w:sz w:val="24"/>
        </w:rPr>
        <w:t xml:space="preserve">he </w:t>
      </w:r>
      <w:r>
        <w:rPr>
          <w:sz w:val="24"/>
        </w:rPr>
        <w:t>Gill Foundation</w:t>
      </w:r>
      <w:r w:rsidR="006A4E04">
        <w:rPr>
          <w:sz w:val="24"/>
        </w:rPr>
        <w:t xml:space="preserve">, </w:t>
      </w:r>
      <w:r w:rsidR="006A4E04" w:rsidRPr="006A4E04">
        <w:rPr>
          <w:sz w:val="24"/>
        </w:rPr>
        <w:t>one of the nation’s leading funders of efforts to secure full equality for lesbian, gay, bisexual</w:t>
      </w:r>
      <w:r w:rsidR="007A7AAF">
        <w:rPr>
          <w:sz w:val="24"/>
        </w:rPr>
        <w:t>,</w:t>
      </w:r>
      <w:r w:rsidR="006A4E04" w:rsidRPr="006A4E04">
        <w:rPr>
          <w:sz w:val="24"/>
        </w:rPr>
        <w:t xml:space="preserve"> and transgender (LGBT) people</w:t>
      </w:r>
      <w:r w:rsidR="006A4E04">
        <w:rPr>
          <w:sz w:val="24"/>
        </w:rPr>
        <w:t xml:space="preserve">. </w:t>
      </w:r>
      <w:r w:rsidR="00B517C2">
        <w:rPr>
          <w:sz w:val="24"/>
        </w:rPr>
        <w:t>DREDF thanks the Gill Foundation for their support of this important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B92C" w14:textId="77777777" w:rsidR="0076406F" w:rsidRDefault="0076406F" w:rsidP="00E70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97844" w14:textId="77777777" w:rsidR="0076406F" w:rsidRDefault="0076406F" w:rsidP="00E702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A4BA" w14:textId="77777777" w:rsidR="0076406F" w:rsidRPr="00435E31" w:rsidRDefault="0076406F" w:rsidP="00E702E3">
    <w:pPr>
      <w:pStyle w:val="Header"/>
      <w:framePr w:h="262" w:hRule="exact" w:wrap="around" w:vAnchor="text" w:hAnchor="margin" w:xAlign="right" w:y="88"/>
      <w:rPr>
        <w:rStyle w:val="PageNumber"/>
        <w:rFonts w:ascii="Avenir Book" w:hAnsi="Avenir Book" w:cs="Arial"/>
      </w:rPr>
    </w:pPr>
    <w:r w:rsidRPr="00435E31">
      <w:rPr>
        <w:rStyle w:val="PageNumber"/>
        <w:rFonts w:ascii="Avenir Book" w:hAnsi="Avenir Book" w:cs="Arial"/>
      </w:rPr>
      <w:fldChar w:fldCharType="begin"/>
    </w:r>
    <w:r w:rsidRPr="00435E31">
      <w:rPr>
        <w:rStyle w:val="PageNumber"/>
        <w:rFonts w:ascii="Avenir Book" w:hAnsi="Avenir Book" w:cs="Arial"/>
      </w:rPr>
      <w:instrText xml:space="preserve">PAGE  </w:instrText>
    </w:r>
    <w:r w:rsidRPr="00435E31">
      <w:rPr>
        <w:rStyle w:val="PageNumber"/>
        <w:rFonts w:ascii="Avenir Book" w:hAnsi="Avenir Book" w:cs="Arial"/>
      </w:rPr>
      <w:fldChar w:fldCharType="separate"/>
    </w:r>
    <w:r w:rsidR="00314318">
      <w:rPr>
        <w:rStyle w:val="PageNumber"/>
        <w:rFonts w:ascii="Avenir Book" w:hAnsi="Avenir Book" w:cs="Arial"/>
        <w:noProof/>
      </w:rPr>
      <w:t>10</w:t>
    </w:r>
    <w:r w:rsidRPr="00435E31">
      <w:rPr>
        <w:rStyle w:val="PageNumber"/>
        <w:rFonts w:ascii="Avenir Book" w:hAnsi="Avenir Book" w:cs="Arial"/>
      </w:rPr>
      <w:fldChar w:fldCharType="end"/>
    </w:r>
  </w:p>
  <w:p w14:paraId="27514659" w14:textId="32B0C896" w:rsidR="0076406F" w:rsidRDefault="0076406F" w:rsidP="00E702E3">
    <w:pPr>
      <w:pStyle w:val="Header"/>
      <w:ind w:right="360"/>
      <w:rPr>
        <w:sz w:val="16"/>
      </w:rPr>
    </w:pPr>
    <w:r>
      <w:rPr>
        <w:noProof/>
        <w:color w:val="CB0724"/>
      </w:rPr>
      <w:drawing>
        <wp:inline distT="0" distB="0" distL="0" distR="0" wp14:anchorId="47961756" wp14:editId="61FE1DC9">
          <wp:extent cx="699518" cy="215900"/>
          <wp:effectExtent l="0" t="0" r="12065" b="0"/>
          <wp:docPr id="10" name="Picture 10" title="D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rotWithShape="1">
                  <a:blip r:embed="rId1">
                    <a:extLst>
                      <a:ext uri="{28A0092B-C50C-407E-A947-70E740481C1C}">
                        <a14:useLocalDpi xmlns:a14="http://schemas.microsoft.com/office/drawing/2010/main" val="0"/>
                      </a:ext>
                    </a:extLst>
                  </a:blip>
                  <a:srcRect r="10527" b="40096"/>
                  <a:stretch/>
                </pic:blipFill>
                <pic:spPr bwMode="auto">
                  <a:xfrm>
                    <a:off x="0" y="0"/>
                    <a:ext cx="702011" cy="2166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noProof/>
      </w:rPr>
      <mc:AlternateContent>
        <mc:Choice Requires="wps">
          <w:drawing>
            <wp:inline distT="0" distB="0" distL="0" distR="0" wp14:anchorId="6FB93537" wp14:editId="2E2F090A">
              <wp:extent cx="6402936" cy="14955"/>
              <wp:effectExtent l="0" t="0" r="48895" b="36195"/>
              <wp:docPr id="9" name="Straight Connector 9" descr="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2936" cy="14955"/>
                      </a:xfrm>
                      <a:prstGeom prst="line">
                        <a:avLst/>
                      </a:prstGeom>
                      <a:noFill/>
                      <a:ln w="28575" cap="rnd" cmpd="sng" algn="ctr">
                        <a:solidFill>
                          <a:sysClr val="windowText" lastClr="000000"/>
                        </a:solidFill>
                        <a:prstDash val="sysDot"/>
                        <a:round/>
                        <a:headEnd type="none"/>
                      </a:ln>
                      <a:effectLst/>
                    </wps:spPr>
                    <wps:bodyPr/>
                  </wps:wsp>
                </a:graphicData>
              </a:graphic>
            </wp:inline>
          </w:drawing>
        </mc:Choice>
        <mc:Fallback xmlns:mo="http://schemas.microsoft.com/office/mac/office/2008/main" xmlns:mv="urn:schemas-microsoft-com:mac:vml">
          <w:pict>
            <v:line id="Straight Connector 9" o:spid="_x0000_s1026" alt="Description: divider" style="flip:y;visibility:visible;mso-wrap-style:square;mso-left-percent:-10001;mso-top-percent:-10001;mso-position-horizontal:absolute;mso-position-horizontal-relative:char;mso-position-vertical:absolute;mso-position-vertical-relative:line;mso-left-percent:-10001;mso-top-percent:-10001" from="0,0" to="504.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" strokecolor="windowText" strokeweight="2.25pt">
              <v:stroke dashstyle="1 1" endcap="round"/>
              <o:lock v:ext="edit" shapetype="f"/>
              <w10:anchorlock/>
            </v:line>
          </w:pict>
        </mc:Fallback>
      </mc:AlternateContent>
    </w:r>
  </w:p>
  <w:p w14:paraId="61CD4AE8" w14:textId="77777777" w:rsidR="00CA7724" w:rsidRPr="004628B9" w:rsidRDefault="00CA7724" w:rsidP="00E702E3">
    <w:pPr>
      <w:pStyle w:val="Header"/>
      <w:ind w:right="36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DBD4" w14:textId="6BF15097" w:rsidR="0076406F" w:rsidRDefault="0076406F" w:rsidP="00051877">
    <w:pPr>
      <w:pStyle w:val="Header"/>
      <w:tabs>
        <w:tab w:val="clear" w:pos="4320"/>
        <w:tab w:val="clear" w:pos="8640"/>
        <w:tab w:val="left" w:pos="7920"/>
      </w:tabs>
      <w:ind w:left="3510" w:right="-720"/>
      <w:rPr>
        <w:rFonts w:ascii="Myriad Pro Cond" w:hAnsi="Myriad Pro Cond" w:cs="Myriad Pro Cond"/>
        <w:position w:val="36"/>
        <w:sz w:val="54"/>
        <w:szCs w:val="54"/>
        <w:vertAlign w:val="superscript"/>
      </w:rPr>
    </w:pPr>
    <w:r w:rsidRPr="00E90FA4">
      <w:rPr>
        <w:rFonts w:ascii="Myriad Pro Condensed" w:hAnsi="Myriad Pro Condensed" w:cs="Myriad Pro Cond"/>
        <w:position w:val="36"/>
        <w:sz w:val="54"/>
        <w:szCs w:val="54"/>
        <w:vertAlign w:val="superscript"/>
      </w:rPr>
      <w:t>Disability Rights Education &amp; Defense Fund</w:t>
    </w:r>
    <w:r>
      <w:rPr>
        <w:rFonts w:ascii="Myriad Pro Cond" w:hAnsi="Myriad Pro Cond" w:cs="Myriad Pro Cond"/>
        <w:position w:val="36"/>
        <w:sz w:val="54"/>
        <w:szCs w:val="54"/>
        <w:vertAlign w:val="superscript"/>
      </w:rPr>
      <w:tab/>
    </w:r>
    <w:r>
      <w:rPr>
        <w:noProof/>
        <w:color w:val="CB0724"/>
      </w:rPr>
      <w:drawing>
        <wp:inline distT="0" distB="0" distL="0" distR="0" wp14:anchorId="19E5A841" wp14:editId="052C5A44">
          <wp:extent cx="1289304" cy="594360"/>
          <wp:effectExtent l="0" t="0" r="6350" b="0"/>
          <wp:docPr id="11" name="Picture 11" title="D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94360"/>
                  </a:xfrm>
                  <a:prstGeom prst="rect">
                    <a:avLst/>
                  </a:prstGeom>
                </pic:spPr>
              </pic:pic>
            </a:graphicData>
          </a:graphic>
        </wp:inline>
      </w:drawing>
    </w:r>
  </w:p>
  <w:p w14:paraId="23AD9A48" w14:textId="77777777" w:rsidR="00051877" w:rsidRPr="00051877" w:rsidRDefault="00051877" w:rsidP="00051877">
    <w:pPr>
      <w:pStyle w:val="Header"/>
      <w:tabs>
        <w:tab w:val="clear" w:pos="4320"/>
        <w:tab w:val="clear" w:pos="8640"/>
        <w:tab w:val="left" w:pos="7920"/>
      </w:tabs>
      <w:ind w:left="3510" w:right="-720"/>
      <w:rPr>
        <w:color w:val="CB0724"/>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E68"/>
    <w:multiLevelType w:val="hybridMultilevel"/>
    <w:tmpl w:val="573C1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D4AB1"/>
    <w:multiLevelType w:val="hybridMultilevel"/>
    <w:tmpl w:val="B240BE38"/>
    <w:lvl w:ilvl="0" w:tplc="E45E7334">
      <w:start w:val="1"/>
      <w:numFmt w:val="upperRoman"/>
      <w:pStyle w:val="Quote"/>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0D266B"/>
    <w:multiLevelType w:val="hybridMultilevel"/>
    <w:tmpl w:val="2348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1286E"/>
    <w:multiLevelType w:val="hybridMultilevel"/>
    <w:tmpl w:val="3E4A1A02"/>
    <w:lvl w:ilvl="0" w:tplc="08B8D898">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0F1D12"/>
    <w:multiLevelType w:val="hybridMultilevel"/>
    <w:tmpl w:val="B720F16A"/>
    <w:lvl w:ilvl="0" w:tplc="202C9F28">
      <w:start w:val="1"/>
      <w:numFmt w:val="decimal"/>
      <w:lvlText w:val="%1."/>
      <w:lvlJc w:val="left"/>
      <w:pPr>
        <w:ind w:left="360" w:hanging="360"/>
      </w:pPr>
      <w:rPr>
        <w:rFonts w:ascii="Avenir Medium" w:hAnsi="Avenir Medium" w:hint="default"/>
        <w:b w:val="0"/>
        <w:i w:val="0"/>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269A8"/>
    <w:multiLevelType w:val="hybridMultilevel"/>
    <w:tmpl w:val="4DB2151E"/>
    <w:lvl w:ilvl="0" w:tplc="10AA8A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ZtK7BDQxiCaQyrurmU034MoNlASRKhPOsTMjgBFskvouW/96a6okTAPalqI2nJnCnh0iQFVRfBBOexNuobWjnw==" w:salt="EBvrJzeEv20jk/uhI6WbJQ=="/>
  <w:zoom w:percent="130"/>
  <w:proofState w:spelling="clean" w:grammar="clean"/>
  <w:defaultTabStop w:val="720"/>
  <w:characterSpacingControl w:val="doNotCompress"/>
  <w:hdrShapeDefaults>
    <o:shapedefaults v:ext="edit" spidmax="2049"/>
  </w:hdrShapeDefaults>
  <w:footnotePr>
    <w:numFmt w:val="chicago"/>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EE2"/>
    <w:rsid w:val="00003A1B"/>
    <w:rsid w:val="000054A5"/>
    <w:rsid w:val="00005598"/>
    <w:rsid w:val="00006711"/>
    <w:rsid w:val="00007B14"/>
    <w:rsid w:val="00007EB3"/>
    <w:rsid w:val="00015234"/>
    <w:rsid w:val="00015E8F"/>
    <w:rsid w:val="000170F6"/>
    <w:rsid w:val="00023440"/>
    <w:rsid w:val="00024118"/>
    <w:rsid w:val="00025756"/>
    <w:rsid w:val="00025E69"/>
    <w:rsid w:val="00026205"/>
    <w:rsid w:val="00027837"/>
    <w:rsid w:val="000279C9"/>
    <w:rsid w:val="00027F6C"/>
    <w:rsid w:val="00030BCD"/>
    <w:rsid w:val="0003574D"/>
    <w:rsid w:val="00037D8C"/>
    <w:rsid w:val="00040980"/>
    <w:rsid w:val="000415B4"/>
    <w:rsid w:val="00042E65"/>
    <w:rsid w:val="0004375A"/>
    <w:rsid w:val="00043E54"/>
    <w:rsid w:val="00045094"/>
    <w:rsid w:val="00045E80"/>
    <w:rsid w:val="00046365"/>
    <w:rsid w:val="00050821"/>
    <w:rsid w:val="00051877"/>
    <w:rsid w:val="00054EE5"/>
    <w:rsid w:val="0005718C"/>
    <w:rsid w:val="00057194"/>
    <w:rsid w:val="00057DAA"/>
    <w:rsid w:val="00061B5A"/>
    <w:rsid w:val="000620BF"/>
    <w:rsid w:val="000649A9"/>
    <w:rsid w:val="000650D4"/>
    <w:rsid w:val="00065A72"/>
    <w:rsid w:val="00065F83"/>
    <w:rsid w:val="00067221"/>
    <w:rsid w:val="00067FC3"/>
    <w:rsid w:val="0007016D"/>
    <w:rsid w:val="000736C3"/>
    <w:rsid w:val="000753DA"/>
    <w:rsid w:val="00076A48"/>
    <w:rsid w:val="00076EB7"/>
    <w:rsid w:val="00080ED9"/>
    <w:rsid w:val="0008363C"/>
    <w:rsid w:val="000839EA"/>
    <w:rsid w:val="00084B06"/>
    <w:rsid w:val="00085CC0"/>
    <w:rsid w:val="00086303"/>
    <w:rsid w:val="000867A5"/>
    <w:rsid w:val="000868B5"/>
    <w:rsid w:val="0008757C"/>
    <w:rsid w:val="0009057C"/>
    <w:rsid w:val="000914C8"/>
    <w:rsid w:val="00091E80"/>
    <w:rsid w:val="000940D9"/>
    <w:rsid w:val="00096A17"/>
    <w:rsid w:val="000A0F26"/>
    <w:rsid w:val="000A1610"/>
    <w:rsid w:val="000A44B3"/>
    <w:rsid w:val="000A4D11"/>
    <w:rsid w:val="000B2BED"/>
    <w:rsid w:val="000B3980"/>
    <w:rsid w:val="000C13DE"/>
    <w:rsid w:val="000C1C59"/>
    <w:rsid w:val="000C33D8"/>
    <w:rsid w:val="000C35C5"/>
    <w:rsid w:val="000C462D"/>
    <w:rsid w:val="000C56CD"/>
    <w:rsid w:val="000C6494"/>
    <w:rsid w:val="000D0AD4"/>
    <w:rsid w:val="000D1100"/>
    <w:rsid w:val="000D1211"/>
    <w:rsid w:val="000D17C8"/>
    <w:rsid w:val="000D2198"/>
    <w:rsid w:val="000D2839"/>
    <w:rsid w:val="000E0962"/>
    <w:rsid w:val="000E1025"/>
    <w:rsid w:val="000E11D6"/>
    <w:rsid w:val="000E2669"/>
    <w:rsid w:val="000E2B61"/>
    <w:rsid w:val="000E5149"/>
    <w:rsid w:val="000E63FC"/>
    <w:rsid w:val="000E6BF4"/>
    <w:rsid w:val="000F5299"/>
    <w:rsid w:val="000F6CBC"/>
    <w:rsid w:val="000F6F27"/>
    <w:rsid w:val="000F7EA8"/>
    <w:rsid w:val="001004A0"/>
    <w:rsid w:val="00105FF8"/>
    <w:rsid w:val="001060D7"/>
    <w:rsid w:val="00107495"/>
    <w:rsid w:val="00107C4D"/>
    <w:rsid w:val="001117EA"/>
    <w:rsid w:val="00111A19"/>
    <w:rsid w:val="001121DB"/>
    <w:rsid w:val="00114416"/>
    <w:rsid w:val="001146F2"/>
    <w:rsid w:val="0011501A"/>
    <w:rsid w:val="00115A0F"/>
    <w:rsid w:val="001163F5"/>
    <w:rsid w:val="00121D75"/>
    <w:rsid w:val="00122AF6"/>
    <w:rsid w:val="00125616"/>
    <w:rsid w:val="001277A2"/>
    <w:rsid w:val="001344C8"/>
    <w:rsid w:val="00137880"/>
    <w:rsid w:val="001379F0"/>
    <w:rsid w:val="00140718"/>
    <w:rsid w:val="001409BF"/>
    <w:rsid w:val="00141EA9"/>
    <w:rsid w:val="00143249"/>
    <w:rsid w:val="00143562"/>
    <w:rsid w:val="00144A7B"/>
    <w:rsid w:val="00144D5A"/>
    <w:rsid w:val="00147E9E"/>
    <w:rsid w:val="001505EC"/>
    <w:rsid w:val="001508D7"/>
    <w:rsid w:val="00150911"/>
    <w:rsid w:val="00151B96"/>
    <w:rsid w:val="00152D4E"/>
    <w:rsid w:val="001537FA"/>
    <w:rsid w:val="00160748"/>
    <w:rsid w:val="00162A0B"/>
    <w:rsid w:val="001632C0"/>
    <w:rsid w:val="0016401D"/>
    <w:rsid w:val="00166C5A"/>
    <w:rsid w:val="00170E13"/>
    <w:rsid w:val="00171064"/>
    <w:rsid w:val="001723F9"/>
    <w:rsid w:val="001727AA"/>
    <w:rsid w:val="00173B19"/>
    <w:rsid w:val="00173B2B"/>
    <w:rsid w:val="00174DC7"/>
    <w:rsid w:val="001769BF"/>
    <w:rsid w:val="00177426"/>
    <w:rsid w:val="00177498"/>
    <w:rsid w:val="0018087D"/>
    <w:rsid w:val="001822E5"/>
    <w:rsid w:val="001872F1"/>
    <w:rsid w:val="001879F3"/>
    <w:rsid w:val="001911EA"/>
    <w:rsid w:val="0019246A"/>
    <w:rsid w:val="00192875"/>
    <w:rsid w:val="00192A42"/>
    <w:rsid w:val="001A1CC3"/>
    <w:rsid w:val="001A5A58"/>
    <w:rsid w:val="001A6175"/>
    <w:rsid w:val="001A7AB4"/>
    <w:rsid w:val="001B025F"/>
    <w:rsid w:val="001B030C"/>
    <w:rsid w:val="001B04A6"/>
    <w:rsid w:val="001B0D9B"/>
    <w:rsid w:val="001B2674"/>
    <w:rsid w:val="001B39F1"/>
    <w:rsid w:val="001B5E14"/>
    <w:rsid w:val="001C301E"/>
    <w:rsid w:val="001C3E8B"/>
    <w:rsid w:val="001C40E4"/>
    <w:rsid w:val="001C4CDA"/>
    <w:rsid w:val="001C5346"/>
    <w:rsid w:val="001C733D"/>
    <w:rsid w:val="001D02A9"/>
    <w:rsid w:val="001D04D8"/>
    <w:rsid w:val="001D2D23"/>
    <w:rsid w:val="001D3ED2"/>
    <w:rsid w:val="001D5A99"/>
    <w:rsid w:val="001D6089"/>
    <w:rsid w:val="001D681C"/>
    <w:rsid w:val="001E0173"/>
    <w:rsid w:val="001E0553"/>
    <w:rsid w:val="001E1ACF"/>
    <w:rsid w:val="001E5806"/>
    <w:rsid w:val="001E7150"/>
    <w:rsid w:val="001E74A9"/>
    <w:rsid w:val="001F0936"/>
    <w:rsid w:val="001F13E1"/>
    <w:rsid w:val="001F34BC"/>
    <w:rsid w:val="001F58C2"/>
    <w:rsid w:val="001F7E97"/>
    <w:rsid w:val="00200E8D"/>
    <w:rsid w:val="002147E0"/>
    <w:rsid w:val="00215476"/>
    <w:rsid w:val="002160DF"/>
    <w:rsid w:val="00217BB2"/>
    <w:rsid w:val="00220B9C"/>
    <w:rsid w:val="00220E8C"/>
    <w:rsid w:val="0022229D"/>
    <w:rsid w:val="002224A1"/>
    <w:rsid w:val="00223087"/>
    <w:rsid w:val="00223B56"/>
    <w:rsid w:val="00224553"/>
    <w:rsid w:val="00224B4C"/>
    <w:rsid w:val="00225DF1"/>
    <w:rsid w:val="0022608E"/>
    <w:rsid w:val="00230DD4"/>
    <w:rsid w:val="00232764"/>
    <w:rsid w:val="0023314B"/>
    <w:rsid w:val="0023341A"/>
    <w:rsid w:val="00240C43"/>
    <w:rsid w:val="0024134F"/>
    <w:rsid w:val="00243954"/>
    <w:rsid w:val="00246740"/>
    <w:rsid w:val="00246CB9"/>
    <w:rsid w:val="002541B4"/>
    <w:rsid w:val="002555D1"/>
    <w:rsid w:val="00256BBD"/>
    <w:rsid w:val="0025741E"/>
    <w:rsid w:val="00261D17"/>
    <w:rsid w:val="00261F1F"/>
    <w:rsid w:val="002632BD"/>
    <w:rsid w:val="00265AD3"/>
    <w:rsid w:val="00266E99"/>
    <w:rsid w:val="0027059A"/>
    <w:rsid w:val="00271AE0"/>
    <w:rsid w:val="0027543C"/>
    <w:rsid w:val="0027583A"/>
    <w:rsid w:val="00275F4C"/>
    <w:rsid w:val="00276C19"/>
    <w:rsid w:val="0028021B"/>
    <w:rsid w:val="0028061E"/>
    <w:rsid w:val="0028097C"/>
    <w:rsid w:val="00280EDA"/>
    <w:rsid w:val="00280F8C"/>
    <w:rsid w:val="00283F76"/>
    <w:rsid w:val="00286941"/>
    <w:rsid w:val="002876F6"/>
    <w:rsid w:val="00291A19"/>
    <w:rsid w:val="00292D3C"/>
    <w:rsid w:val="002944D7"/>
    <w:rsid w:val="00294DDB"/>
    <w:rsid w:val="002A1319"/>
    <w:rsid w:val="002A405D"/>
    <w:rsid w:val="002A511E"/>
    <w:rsid w:val="002A52ED"/>
    <w:rsid w:val="002A7281"/>
    <w:rsid w:val="002B59B6"/>
    <w:rsid w:val="002B6D44"/>
    <w:rsid w:val="002C0434"/>
    <w:rsid w:val="002C0812"/>
    <w:rsid w:val="002C0DAE"/>
    <w:rsid w:val="002C297B"/>
    <w:rsid w:val="002C353F"/>
    <w:rsid w:val="002C4D66"/>
    <w:rsid w:val="002C753A"/>
    <w:rsid w:val="002D1DE9"/>
    <w:rsid w:val="002D1FD5"/>
    <w:rsid w:val="002D325F"/>
    <w:rsid w:val="002D43E6"/>
    <w:rsid w:val="002D6DC4"/>
    <w:rsid w:val="002E276A"/>
    <w:rsid w:val="002E2993"/>
    <w:rsid w:val="002E2E73"/>
    <w:rsid w:val="002E3315"/>
    <w:rsid w:val="002E33D6"/>
    <w:rsid w:val="002E3972"/>
    <w:rsid w:val="002E4A68"/>
    <w:rsid w:val="002E6D26"/>
    <w:rsid w:val="002F0D77"/>
    <w:rsid w:val="002F2826"/>
    <w:rsid w:val="002F381C"/>
    <w:rsid w:val="002F624F"/>
    <w:rsid w:val="002F794A"/>
    <w:rsid w:val="002F7C3D"/>
    <w:rsid w:val="003019CF"/>
    <w:rsid w:val="00302095"/>
    <w:rsid w:val="00303897"/>
    <w:rsid w:val="00307BCC"/>
    <w:rsid w:val="00311DEA"/>
    <w:rsid w:val="00312536"/>
    <w:rsid w:val="0031422B"/>
    <w:rsid w:val="00314318"/>
    <w:rsid w:val="003143A7"/>
    <w:rsid w:val="0031513E"/>
    <w:rsid w:val="00320628"/>
    <w:rsid w:val="0032505D"/>
    <w:rsid w:val="00325DCC"/>
    <w:rsid w:val="00331966"/>
    <w:rsid w:val="00331AD8"/>
    <w:rsid w:val="00336667"/>
    <w:rsid w:val="003433EA"/>
    <w:rsid w:val="00343EAF"/>
    <w:rsid w:val="00344BA5"/>
    <w:rsid w:val="0035134B"/>
    <w:rsid w:val="00353A51"/>
    <w:rsid w:val="00354CF9"/>
    <w:rsid w:val="00354E68"/>
    <w:rsid w:val="00355081"/>
    <w:rsid w:val="00355E88"/>
    <w:rsid w:val="00361589"/>
    <w:rsid w:val="00361E38"/>
    <w:rsid w:val="00361ECB"/>
    <w:rsid w:val="003623FD"/>
    <w:rsid w:val="00362BC6"/>
    <w:rsid w:val="003671F7"/>
    <w:rsid w:val="00367DCC"/>
    <w:rsid w:val="00367F84"/>
    <w:rsid w:val="00370B89"/>
    <w:rsid w:val="00370DB9"/>
    <w:rsid w:val="00371A72"/>
    <w:rsid w:val="00371F3D"/>
    <w:rsid w:val="003736BD"/>
    <w:rsid w:val="003769F3"/>
    <w:rsid w:val="0038049F"/>
    <w:rsid w:val="00383B22"/>
    <w:rsid w:val="003902D9"/>
    <w:rsid w:val="003941D4"/>
    <w:rsid w:val="00395EFE"/>
    <w:rsid w:val="00396650"/>
    <w:rsid w:val="00397F2D"/>
    <w:rsid w:val="003A10A2"/>
    <w:rsid w:val="003A2EBE"/>
    <w:rsid w:val="003A4001"/>
    <w:rsid w:val="003A5BBD"/>
    <w:rsid w:val="003A6113"/>
    <w:rsid w:val="003A6166"/>
    <w:rsid w:val="003A757F"/>
    <w:rsid w:val="003A783D"/>
    <w:rsid w:val="003A78F0"/>
    <w:rsid w:val="003B0305"/>
    <w:rsid w:val="003B2652"/>
    <w:rsid w:val="003C150A"/>
    <w:rsid w:val="003C1779"/>
    <w:rsid w:val="003C2257"/>
    <w:rsid w:val="003C2843"/>
    <w:rsid w:val="003C7113"/>
    <w:rsid w:val="003C7E96"/>
    <w:rsid w:val="003D0012"/>
    <w:rsid w:val="003D0281"/>
    <w:rsid w:val="003D0F27"/>
    <w:rsid w:val="003D3649"/>
    <w:rsid w:val="003D3F9C"/>
    <w:rsid w:val="003D43E3"/>
    <w:rsid w:val="003D6C4D"/>
    <w:rsid w:val="003E13B5"/>
    <w:rsid w:val="003E2073"/>
    <w:rsid w:val="003E2C82"/>
    <w:rsid w:val="003E4127"/>
    <w:rsid w:val="003E5E69"/>
    <w:rsid w:val="003E698C"/>
    <w:rsid w:val="003E7ED3"/>
    <w:rsid w:val="003F0FBD"/>
    <w:rsid w:val="003F20B4"/>
    <w:rsid w:val="003F38B7"/>
    <w:rsid w:val="003F4112"/>
    <w:rsid w:val="003F51DC"/>
    <w:rsid w:val="003F5D01"/>
    <w:rsid w:val="003F7001"/>
    <w:rsid w:val="003F78A6"/>
    <w:rsid w:val="00403A59"/>
    <w:rsid w:val="00403DF7"/>
    <w:rsid w:val="00404049"/>
    <w:rsid w:val="004041D7"/>
    <w:rsid w:val="0040522B"/>
    <w:rsid w:val="00414793"/>
    <w:rsid w:val="00414D42"/>
    <w:rsid w:val="0041542A"/>
    <w:rsid w:val="00416060"/>
    <w:rsid w:val="004176D9"/>
    <w:rsid w:val="004207E1"/>
    <w:rsid w:val="004211CC"/>
    <w:rsid w:val="00424169"/>
    <w:rsid w:val="00424753"/>
    <w:rsid w:val="0042487B"/>
    <w:rsid w:val="00424CF3"/>
    <w:rsid w:val="0042576B"/>
    <w:rsid w:val="0042673D"/>
    <w:rsid w:val="00426FF2"/>
    <w:rsid w:val="0043217A"/>
    <w:rsid w:val="00434C09"/>
    <w:rsid w:val="00435E31"/>
    <w:rsid w:val="0043638D"/>
    <w:rsid w:val="00437863"/>
    <w:rsid w:val="00440FDC"/>
    <w:rsid w:val="00441426"/>
    <w:rsid w:val="00441743"/>
    <w:rsid w:val="0044184A"/>
    <w:rsid w:val="004421B1"/>
    <w:rsid w:val="00444266"/>
    <w:rsid w:val="00445610"/>
    <w:rsid w:val="00446475"/>
    <w:rsid w:val="00446873"/>
    <w:rsid w:val="00446F5D"/>
    <w:rsid w:val="00447DC0"/>
    <w:rsid w:val="00447E99"/>
    <w:rsid w:val="00450D3A"/>
    <w:rsid w:val="00452B92"/>
    <w:rsid w:val="00453880"/>
    <w:rsid w:val="00457350"/>
    <w:rsid w:val="00457916"/>
    <w:rsid w:val="00460889"/>
    <w:rsid w:val="0046122E"/>
    <w:rsid w:val="004628B9"/>
    <w:rsid w:val="0046465D"/>
    <w:rsid w:val="00465DA3"/>
    <w:rsid w:val="004673F3"/>
    <w:rsid w:val="00471223"/>
    <w:rsid w:val="0047440E"/>
    <w:rsid w:val="0047447E"/>
    <w:rsid w:val="00475BD7"/>
    <w:rsid w:val="0048080D"/>
    <w:rsid w:val="00480C53"/>
    <w:rsid w:val="0048120D"/>
    <w:rsid w:val="004820AF"/>
    <w:rsid w:val="004831C4"/>
    <w:rsid w:val="004831E7"/>
    <w:rsid w:val="0048676E"/>
    <w:rsid w:val="0048793F"/>
    <w:rsid w:val="0049170A"/>
    <w:rsid w:val="00492289"/>
    <w:rsid w:val="00492DAA"/>
    <w:rsid w:val="00493FC9"/>
    <w:rsid w:val="00494A12"/>
    <w:rsid w:val="00494E51"/>
    <w:rsid w:val="00496AE6"/>
    <w:rsid w:val="004976F8"/>
    <w:rsid w:val="004A118D"/>
    <w:rsid w:val="004A2C96"/>
    <w:rsid w:val="004A2D07"/>
    <w:rsid w:val="004A770E"/>
    <w:rsid w:val="004B30D6"/>
    <w:rsid w:val="004B524C"/>
    <w:rsid w:val="004B56E6"/>
    <w:rsid w:val="004B5BFE"/>
    <w:rsid w:val="004B6F09"/>
    <w:rsid w:val="004C22C1"/>
    <w:rsid w:val="004C2313"/>
    <w:rsid w:val="004C28BE"/>
    <w:rsid w:val="004C4F4B"/>
    <w:rsid w:val="004C77FD"/>
    <w:rsid w:val="004D054E"/>
    <w:rsid w:val="004D0994"/>
    <w:rsid w:val="004D3221"/>
    <w:rsid w:val="004D42FD"/>
    <w:rsid w:val="004D4C72"/>
    <w:rsid w:val="004D5D6A"/>
    <w:rsid w:val="004E078E"/>
    <w:rsid w:val="004E0F64"/>
    <w:rsid w:val="004E2060"/>
    <w:rsid w:val="004E5139"/>
    <w:rsid w:val="004E5DEB"/>
    <w:rsid w:val="004E6F53"/>
    <w:rsid w:val="004F050B"/>
    <w:rsid w:val="004F0C32"/>
    <w:rsid w:val="004F28F3"/>
    <w:rsid w:val="004F2957"/>
    <w:rsid w:val="004F454F"/>
    <w:rsid w:val="004F4948"/>
    <w:rsid w:val="004F51C4"/>
    <w:rsid w:val="004F5412"/>
    <w:rsid w:val="004F6A2F"/>
    <w:rsid w:val="00503220"/>
    <w:rsid w:val="00503BF8"/>
    <w:rsid w:val="00505A2B"/>
    <w:rsid w:val="00517358"/>
    <w:rsid w:val="00520C15"/>
    <w:rsid w:val="00521932"/>
    <w:rsid w:val="0052256F"/>
    <w:rsid w:val="005235DB"/>
    <w:rsid w:val="00523650"/>
    <w:rsid w:val="005250E1"/>
    <w:rsid w:val="0052553A"/>
    <w:rsid w:val="00526ACB"/>
    <w:rsid w:val="00530114"/>
    <w:rsid w:val="00531327"/>
    <w:rsid w:val="00531991"/>
    <w:rsid w:val="00531B2D"/>
    <w:rsid w:val="00532306"/>
    <w:rsid w:val="00532897"/>
    <w:rsid w:val="00533A62"/>
    <w:rsid w:val="00533DA7"/>
    <w:rsid w:val="00537B85"/>
    <w:rsid w:val="00541B80"/>
    <w:rsid w:val="00541FBB"/>
    <w:rsid w:val="005430DC"/>
    <w:rsid w:val="00543468"/>
    <w:rsid w:val="005435F9"/>
    <w:rsid w:val="00543DDD"/>
    <w:rsid w:val="00545768"/>
    <w:rsid w:val="0054661A"/>
    <w:rsid w:val="005514ED"/>
    <w:rsid w:val="00552C6E"/>
    <w:rsid w:val="00553E15"/>
    <w:rsid w:val="00555992"/>
    <w:rsid w:val="00555C2E"/>
    <w:rsid w:val="00556584"/>
    <w:rsid w:val="00556AFC"/>
    <w:rsid w:val="00563690"/>
    <w:rsid w:val="00563E32"/>
    <w:rsid w:val="00564503"/>
    <w:rsid w:val="00565B88"/>
    <w:rsid w:val="00570D04"/>
    <w:rsid w:val="005712AA"/>
    <w:rsid w:val="005748DD"/>
    <w:rsid w:val="00577E62"/>
    <w:rsid w:val="005811C3"/>
    <w:rsid w:val="0058266C"/>
    <w:rsid w:val="005833C8"/>
    <w:rsid w:val="00586031"/>
    <w:rsid w:val="00586C51"/>
    <w:rsid w:val="00587B2A"/>
    <w:rsid w:val="00591243"/>
    <w:rsid w:val="00592FB5"/>
    <w:rsid w:val="005948AF"/>
    <w:rsid w:val="005959A4"/>
    <w:rsid w:val="005A0702"/>
    <w:rsid w:val="005A1640"/>
    <w:rsid w:val="005A1C69"/>
    <w:rsid w:val="005A317B"/>
    <w:rsid w:val="005A3672"/>
    <w:rsid w:val="005A5CF3"/>
    <w:rsid w:val="005A7BC8"/>
    <w:rsid w:val="005B009D"/>
    <w:rsid w:val="005B0F3B"/>
    <w:rsid w:val="005B1145"/>
    <w:rsid w:val="005B338A"/>
    <w:rsid w:val="005B411B"/>
    <w:rsid w:val="005B4ABC"/>
    <w:rsid w:val="005B50AB"/>
    <w:rsid w:val="005B6189"/>
    <w:rsid w:val="005B6326"/>
    <w:rsid w:val="005B67EE"/>
    <w:rsid w:val="005C038E"/>
    <w:rsid w:val="005C23FA"/>
    <w:rsid w:val="005C3BCB"/>
    <w:rsid w:val="005C3D55"/>
    <w:rsid w:val="005C5E3F"/>
    <w:rsid w:val="005C5E89"/>
    <w:rsid w:val="005C7BCE"/>
    <w:rsid w:val="005C7C0A"/>
    <w:rsid w:val="005D11A3"/>
    <w:rsid w:val="005D4B22"/>
    <w:rsid w:val="005D4CDE"/>
    <w:rsid w:val="005D5497"/>
    <w:rsid w:val="005D5E09"/>
    <w:rsid w:val="005D5E1C"/>
    <w:rsid w:val="005D5E1D"/>
    <w:rsid w:val="005E231B"/>
    <w:rsid w:val="005E33E2"/>
    <w:rsid w:val="005E3E49"/>
    <w:rsid w:val="005E6803"/>
    <w:rsid w:val="005E6BCA"/>
    <w:rsid w:val="005F2A41"/>
    <w:rsid w:val="005F2CC8"/>
    <w:rsid w:val="005F3604"/>
    <w:rsid w:val="005F5B2B"/>
    <w:rsid w:val="006012BB"/>
    <w:rsid w:val="00601920"/>
    <w:rsid w:val="00601F5C"/>
    <w:rsid w:val="006070C0"/>
    <w:rsid w:val="00610017"/>
    <w:rsid w:val="00610877"/>
    <w:rsid w:val="006111BD"/>
    <w:rsid w:val="00612213"/>
    <w:rsid w:val="006145C2"/>
    <w:rsid w:val="00616A9A"/>
    <w:rsid w:val="00616C4D"/>
    <w:rsid w:val="0061710B"/>
    <w:rsid w:val="00620716"/>
    <w:rsid w:val="00622F3F"/>
    <w:rsid w:val="0062510F"/>
    <w:rsid w:val="0062537E"/>
    <w:rsid w:val="00625475"/>
    <w:rsid w:val="00626304"/>
    <w:rsid w:val="00627715"/>
    <w:rsid w:val="00627DE7"/>
    <w:rsid w:val="0063221E"/>
    <w:rsid w:val="00633521"/>
    <w:rsid w:val="00634BD2"/>
    <w:rsid w:val="00635748"/>
    <w:rsid w:val="006362EC"/>
    <w:rsid w:val="00636726"/>
    <w:rsid w:val="00641BFB"/>
    <w:rsid w:val="006437B9"/>
    <w:rsid w:val="00645558"/>
    <w:rsid w:val="00645EDD"/>
    <w:rsid w:val="006500E9"/>
    <w:rsid w:val="00652B96"/>
    <w:rsid w:val="006542EA"/>
    <w:rsid w:val="00655EE2"/>
    <w:rsid w:val="00656A35"/>
    <w:rsid w:val="006577A0"/>
    <w:rsid w:val="00657D5D"/>
    <w:rsid w:val="00657F2D"/>
    <w:rsid w:val="00662958"/>
    <w:rsid w:val="00663B65"/>
    <w:rsid w:val="00664AC6"/>
    <w:rsid w:val="00665291"/>
    <w:rsid w:val="00665B1C"/>
    <w:rsid w:val="0067449F"/>
    <w:rsid w:val="00676202"/>
    <w:rsid w:val="00682717"/>
    <w:rsid w:val="00682EF1"/>
    <w:rsid w:val="00683700"/>
    <w:rsid w:val="00685DBB"/>
    <w:rsid w:val="0068618E"/>
    <w:rsid w:val="006862DE"/>
    <w:rsid w:val="006867E2"/>
    <w:rsid w:val="00691564"/>
    <w:rsid w:val="00691DD6"/>
    <w:rsid w:val="00692779"/>
    <w:rsid w:val="006928DA"/>
    <w:rsid w:val="00693A79"/>
    <w:rsid w:val="00693D29"/>
    <w:rsid w:val="006953D3"/>
    <w:rsid w:val="00696CE6"/>
    <w:rsid w:val="006A0B77"/>
    <w:rsid w:val="006A0BBA"/>
    <w:rsid w:val="006A284D"/>
    <w:rsid w:val="006A4E04"/>
    <w:rsid w:val="006A5815"/>
    <w:rsid w:val="006A7B12"/>
    <w:rsid w:val="006B0773"/>
    <w:rsid w:val="006B54BC"/>
    <w:rsid w:val="006B6EEA"/>
    <w:rsid w:val="006B7A0D"/>
    <w:rsid w:val="006C07A8"/>
    <w:rsid w:val="006C1A5F"/>
    <w:rsid w:val="006C43DA"/>
    <w:rsid w:val="006C46B1"/>
    <w:rsid w:val="006C4EBF"/>
    <w:rsid w:val="006C6A8C"/>
    <w:rsid w:val="006D4DE3"/>
    <w:rsid w:val="006D6FB6"/>
    <w:rsid w:val="006D7F4B"/>
    <w:rsid w:val="006E1D4A"/>
    <w:rsid w:val="006E1D80"/>
    <w:rsid w:val="006E3B64"/>
    <w:rsid w:val="006E62F6"/>
    <w:rsid w:val="006E75CF"/>
    <w:rsid w:val="006F2974"/>
    <w:rsid w:val="006F4C01"/>
    <w:rsid w:val="006F58D7"/>
    <w:rsid w:val="006F58ED"/>
    <w:rsid w:val="006F5A7D"/>
    <w:rsid w:val="00700D0E"/>
    <w:rsid w:val="007041DC"/>
    <w:rsid w:val="007075E2"/>
    <w:rsid w:val="00712AA7"/>
    <w:rsid w:val="00714E5D"/>
    <w:rsid w:val="007170AC"/>
    <w:rsid w:val="00717A5A"/>
    <w:rsid w:val="00720206"/>
    <w:rsid w:val="00720247"/>
    <w:rsid w:val="00720344"/>
    <w:rsid w:val="00721DA5"/>
    <w:rsid w:val="0072306E"/>
    <w:rsid w:val="00723654"/>
    <w:rsid w:val="00724031"/>
    <w:rsid w:val="00724759"/>
    <w:rsid w:val="00724BC8"/>
    <w:rsid w:val="00725312"/>
    <w:rsid w:val="00726645"/>
    <w:rsid w:val="00726A00"/>
    <w:rsid w:val="00726A1F"/>
    <w:rsid w:val="00726C37"/>
    <w:rsid w:val="007273E2"/>
    <w:rsid w:val="007352FE"/>
    <w:rsid w:val="00735637"/>
    <w:rsid w:val="0073576A"/>
    <w:rsid w:val="007357D7"/>
    <w:rsid w:val="00737478"/>
    <w:rsid w:val="00737548"/>
    <w:rsid w:val="00737B36"/>
    <w:rsid w:val="00740E29"/>
    <w:rsid w:val="00744007"/>
    <w:rsid w:val="00745054"/>
    <w:rsid w:val="007458D9"/>
    <w:rsid w:val="00747742"/>
    <w:rsid w:val="00761F76"/>
    <w:rsid w:val="0076406F"/>
    <w:rsid w:val="00764111"/>
    <w:rsid w:val="00765701"/>
    <w:rsid w:val="00765BA8"/>
    <w:rsid w:val="00766DF2"/>
    <w:rsid w:val="00770252"/>
    <w:rsid w:val="00771692"/>
    <w:rsid w:val="0077192B"/>
    <w:rsid w:val="007734DF"/>
    <w:rsid w:val="007755D1"/>
    <w:rsid w:val="007765D6"/>
    <w:rsid w:val="00780656"/>
    <w:rsid w:val="007820CF"/>
    <w:rsid w:val="00782B2F"/>
    <w:rsid w:val="007848E9"/>
    <w:rsid w:val="00785FA3"/>
    <w:rsid w:val="00786B05"/>
    <w:rsid w:val="00787881"/>
    <w:rsid w:val="00787FA4"/>
    <w:rsid w:val="00790C00"/>
    <w:rsid w:val="00791017"/>
    <w:rsid w:val="00791F31"/>
    <w:rsid w:val="0079435B"/>
    <w:rsid w:val="007A0FB2"/>
    <w:rsid w:val="007A1084"/>
    <w:rsid w:val="007A29D9"/>
    <w:rsid w:val="007A3DAF"/>
    <w:rsid w:val="007A5047"/>
    <w:rsid w:val="007A5DE0"/>
    <w:rsid w:val="007A6A21"/>
    <w:rsid w:val="007A7AAF"/>
    <w:rsid w:val="007A7BF2"/>
    <w:rsid w:val="007B12D2"/>
    <w:rsid w:val="007B1FD5"/>
    <w:rsid w:val="007B5624"/>
    <w:rsid w:val="007B56A2"/>
    <w:rsid w:val="007B6AFF"/>
    <w:rsid w:val="007B7249"/>
    <w:rsid w:val="007B72E6"/>
    <w:rsid w:val="007C1B7C"/>
    <w:rsid w:val="007C4AD6"/>
    <w:rsid w:val="007C54CF"/>
    <w:rsid w:val="007C725E"/>
    <w:rsid w:val="007D140F"/>
    <w:rsid w:val="007D194A"/>
    <w:rsid w:val="007D2F2B"/>
    <w:rsid w:val="007D3199"/>
    <w:rsid w:val="007D3339"/>
    <w:rsid w:val="007D407A"/>
    <w:rsid w:val="007D4B09"/>
    <w:rsid w:val="007D7255"/>
    <w:rsid w:val="007E0958"/>
    <w:rsid w:val="007E3BC0"/>
    <w:rsid w:val="007F0D35"/>
    <w:rsid w:val="007F3B8C"/>
    <w:rsid w:val="007F4096"/>
    <w:rsid w:val="007F5A81"/>
    <w:rsid w:val="007F5DA3"/>
    <w:rsid w:val="007F6A7C"/>
    <w:rsid w:val="007F7E3D"/>
    <w:rsid w:val="00800C1A"/>
    <w:rsid w:val="00800FC0"/>
    <w:rsid w:val="008025F6"/>
    <w:rsid w:val="008029DF"/>
    <w:rsid w:val="00803A19"/>
    <w:rsid w:val="0080510D"/>
    <w:rsid w:val="0081015E"/>
    <w:rsid w:val="008119DC"/>
    <w:rsid w:val="00813167"/>
    <w:rsid w:val="008146E1"/>
    <w:rsid w:val="00821D30"/>
    <w:rsid w:val="00821EEC"/>
    <w:rsid w:val="00822B56"/>
    <w:rsid w:val="0082312C"/>
    <w:rsid w:val="00823EED"/>
    <w:rsid w:val="0082495E"/>
    <w:rsid w:val="00826930"/>
    <w:rsid w:val="00830766"/>
    <w:rsid w:val="008352DE"/>
    <w:rsid w:val="0083587C"/>
    <w:rsid w:val="00841A90"/>
    <w:rsid w:val="00842451"/>
    <w:rsid w:val="008425F8"/>
    <w:rsid w:val="008453B3"/>
    <w:rsid w:val="00847739"/>
    <w:rsid w:val="0085075A"/>
    <w:rsid w:val="0085128D"/>
    <w:rsid w:val="008524FE"/>
    <w:rsid w:val="0085494C"/>
    <w:rsid w:val="00854CDD"/>
    <w:rsid w:val="00854DE7"/>
    <w:rsid w:val="0085512F"/>
    <w:rsid w:val="008561C7"/>
    <w:rsid w:val="008565F5"/>
    <w:rsid w:val="00856C5B"/>
    <w:rsid w:val="00860838"/>
    <w:rsid w:val="00861E2A"/>
    <w:rsid w:val="00862826"/>
    <w:rsid w:val="00864313"/>
    <w:rsid w:val="00864B61"/>
    <w:rsid w:val="00865854"/>
    <w:rsid w:val="00866345"/>
    <w:rsid w:val="00867F48"/>
    <w:rsid w:val="00870975"/>
    <w:rsid w:val="008755CA"/>
    <w:rsid w:val="008770FD"/>
    <w:rsid w:val="00881CA1"/>
    <w:rsid w:val="00882794"/>
    <w:rsid w:val="00882D55"/>
    <w:rsid w:val="008834C5"/>
    <w:rsid w:val="008836C4"/>
    <w:rsid w:val="00883E35"/>
    <w:rsid w:val="008842C7"/>
    <w:rsid w:val="00885499"/>
    <w:rsid w:val="008871D5"/>
    <w:rsid w:val="00887636"/>
    <w:rsid w:val="00887DCC"/>
    <w:rsid w:val="00890CE7"/>
    <w:rsid w:val="008910EA"/>
    <w:rsid w:val="008940CB"/>
    <w:rsid w:val="00895A92"/>
    <w:rsid w:val="00896ACD"/>
    <w:rsid w:val="008A0727"/>
    <w:rsid w:val="008A0784"/>
    <w:rsid w:val="008A5D00"/>
    <w:rsid w:val="008A7F30"/>
    <w:rsid w:val="008B13FB"/>
    <w:rsid w:val="008B3D32"/>
    <w:rsid w:val="008B3E83"/>
    <w:rsid w:val="008B5C41"/>
    <w:rsid w:val="008B68B7"/>
    <w:rsid w:val="008B7FB7"/>
    <w:rsid w:val="008B7FFC"/>
    <w:rsid w:val="008C516E"/>
    <w:rsid w:val="008C59E5"/>
    <w:rsid w:val="008C70BF"/>
    <w:rsid w:val="008D40CC"/>
    <w:rsid w:val="008D41E0"/>
    <w:rsid w:val="008D510B"/>
    <w:rsid w:val="008D6732"/>
    <w:rsid w:val="008D7F04"/>
    <w:rsid w:val="008E0555"/>
    <w:rsid w:val="008E186E"/>
    <w:rsid w:val="008E380F"/>
    <w:rsid w:val="008E39F4"/>
    <w:rsid w:val="008E3A53"/>
    <w:rsid w:val="008E4B48"/>
    <w:rsid w:val="008E5561"/>
    <w:rsid w:val="008F2BE7"/>
    <w:rsid w:val="008F2C50"/>
    <w:rsid w:val="008F3019"/>
    <w:rsid w:val="008F31FD"/>
    <w:rsid w:val="008F4711"/>
    <w:rsid w:val="008F5EBF"/>
    <w:rsid w:val="008F7099"/>
    <w:rsid w:val="008F7195"/>
    <w:rsid w:val="008F7B52"/>
    <w:rsid w:val="009002DD"/>
    <w:rsid w:val="00900464"/>
    <w:rsid w:val="00902A0C"/>
    <w:rsid w:val="00903780"/>
    <w:rsid w:val="00904274"/>
    <w:rsid w:val="0090435D"/>
    <w:rsid w:val="00904628"/>
    <w:rsid w:val="009060F5"/>
    <w:rsid w:val="00907D47"/>
    <w:rsid w:val="00914855"/>
    <w:rsid w:val="00916248"/>
    <w:rsid w:val="00917EFE"/>
    <w:rsid w:val="009213EB"/>
    <w:rsid w:val="0092254F"/>
    <w:rsid w:val="00927376"/>
    <w:rsid w:val="0093028B"/>
    <w:rsid w:val="0093289A"/>
    <w:rsid w:val="00932FA1"/>
    <w:rsid w:val="00933C31"/>
    <w:rsid w:val="00933DF1"/>
    <w:rsid w:val="00933F96"/>
    <w:rsid w:val="00934157"/>
    <w:rsid w:val="0093538A"/>
    <w:rsid w:val="009401B2"/>
    <w:rsid w:val="00940374"/>
    <w:rsid w:val="009407D1"/>
    <w:rsid w:val="00953B3A"/>
    <w:rsid w:val="009544A4"/>
    <w:rsid w:val="00956319"/>
    <w:rsid w:val="00957668"/>
    <w:rsid w:val="00961452"/>
    <w:rsid w:val="00961F97"/>
    <w:rsid w:val="00962140"/>
    <w:rsid w:val="00962274"/>
    <w:rsid w:val="0096270F"/>
    <w:rsid w:val="0096422D"/>
    <w:rsid w:val="009645E5"/>
    <w:rsid w:val="00964C40"/>
    <w:rsid w:val="00965A66"/>
    <w:rsid w:val="009661AF"/>
    <w:rsid w:val="00966EA4"/>
    <w:rsid w:val="00970F60"/>
    <w:rsid w:val="009717C3"/>
    <w:rsid w:val="00971DF7"/>
    <w:rsid w:val="009734A0"/>
    <w:rsid w:val="009777DE"/>
    <w:rsid w:val="00977907"/>
    <w:rsid w:val="009849FD"/>
    <w:rsid w:val="009878BA"/>
    <w:rsid w:val="0099017F"/>
    <w:rsid w:val="009905E7"/>
    <w:rsid w:val="009934D5"/>
    <w:rsid w:val="009934EA"/>
    <w:rsid w:val="00993D00"/>
    <w:rsid w:val="0099494C"/>
    <w:rsid w:val="00994FB8"/>
    <w:rsid w:val="00996DDC"/>
    <w:rsid w:val="009A0D89"/>
    <w:rsid w:val="009A1F4E"/>
    <w:rsid w:val="009A4412"/>
    <w:rsid w:val="009A469A"/>
    <w:rsid w:val="009A488F"/>
    <w:rsid w:val="009A61FF"/>
    <w:rsid w:val="009A6B26"/>
    <w:rsid w:val="009A7B24"/>
    <w:rsid w:val="009B21DA"/>
    <w:rsid w:val="009B279F"/>
    <w:rsid w:val="009B6700"/>
    <w:rsid w:val="009C0B72"/>
    <w:rsid w:val="009C2E6B"/>
    <w:rsid w:val="009C5F19"/>
    <w:rsid w:val="009C74B3"/>
    <w:rsid w:val="009D1C79"/>
    <w:rsid w:val="009D216F"/>
    <w:rsid w:val="009D2F84"/>
    <w:rsid w:val="009D50E6"/>
    <w:rsid w:val="009D7435"/>
    <w:rsid w:val="009D7935"/>
    <w:rsid w:val="009E045A"/>
    <w:rsid w:val="009E046B"/>
    <w:rsid w:val="009E0EBC"/>
    <w:rsid w:val="009E0F90"/>
    <w:rsid w:val="009E1E5E"/>
    <w:rsid w:val="009E303F"/>
    <w:rsid w:val="009E67EE"/>
    <w:rsid w:val="009E68E8"/>
    <w:rsid w:val="009E7233"/>
    <w:rsid w:val="009E7A60"/>
    <w:rsid w:val="009F62BF"/>
    <w:rsid w:val="00A001E7"/>
    <w:rsid w:val="00A03AB4"/>
    <w:rsid w:val="00A05EFE"/>
    <w:rsid w:val="00A07DA6"/>
    <w:rsid w:val="00A11EB9"/>
    <w:rsid w:val="00A12F26"/>
    <w:rsid w:val="00A1312C"/>
    <w:rsid w:val="00A15961"/>
    <w:rsid w:val="00A15AEE"/>
    <w:rsid w:val="00A1660A"/>
    <w:rsid w:val="00A1787B"/>
    <w:rsid w:val="00A218D9"/>
    <w:rsid w:val="00A24B86"/>
    <w:rsid w:val="00A255D3"/>
    <w:rsid w:val="00A25BDE"/>
    <w:rsid w:val="00A26007"/>
    <w:rsid w:val="00A26CED"/>
    <w:rsid w:val="00A26DDF"/>
    <w:rsid w:val="00A312BD"/>
    <w:rsid w:val="00A31CFD"/>
    <w:rsid w:val="00A3210E"/>
    <w:rsid w:val="00A3404F"/>
    <w:rsid w:val="00A34FFD"/>
    <w:rsid w:val="00A36768"/>
    <w:rsid w:val="00A3676C"/>
    <w:rsid w:val="00A36D9F"/>
    <w:rsid w:val="00A40D11"/>
    <w:rsid w:val="00A41B75"/>
    <w:rsid w:val="00A44FA3"/>
    <w:rsid w:val="00A4567A"/>
    <w:rsid w:val="00A4642A"/>
    <w:rsid w:val="00A4655E"/>
    <w:rsid w:val="00A46FF7"/>
    <w:rsid w:val="00A503D9"/>
    <w:rsid w:val="00A54C1E"/>
    <w:rsid w:val="00A5663C"/>
    <w:rsid w:val="00A5694B"/>
    <w:rsid w:val="00A56DC1"/>
    <w:rsid w:val="00A57E46"/>
    <w:rsid w:val="00A61887"/>
    <w:rsid w:val="00A63050"/>
    <w:rsid w:val="00A64CEB"/>
    <w:rsid w:val="00A65ACC"/>
    <w:rsid w:val="00A66E78"/>
    <w:rsid w:val="00A6776C"/>
    <w:rsid w:val="00A702AE"/>
    <w:rsid w:val="00A715AF"/>
    <w:rsid w:val="00A72E00"/>
    <w:rsid w:val="00A76228"/>
    <w:rsid w:val="00A76FF1"/>
    <w:rsid w:val="00A811AA"/>
    <w:rsid w:val="00A81ACC"/>
    <w:rsid w:val="00A81C82"/>
    <w:rsid w:val="00A81CD3"/>
    <w:rsid w:val="00A82711"/>
    <w:rsid w:val="00A82C8A"/>
    <w:rsid w:val="00A82DE6"/>
    <w:rsid w:val="00A8403B"/>
    <w:rsid w:val="00A84163"/>
    <w:rsid w:val="00A86ACD"/>
    <w:rsid w:val="00A873B3"/>
    <w:rsid w:val="00A9075E"/>
    <w:rsid w:val="00A90B43"/>
    <w:rsid w:val="00A912C9"/>
    <w:rsid w:val="00A91984"/>
    <w:rsid w:val="00A9282E"/>
    <w:rsid w:val="00A97477"/>
    <w:rsid w:val="00AA1E5B"/>
    <w:rsid w:val="00AA5041"/>
    <w:rsid w:val="00AA7A5E"/>
    <w:rsid w:val="00AB061B"/>
    <w:rsid w:val="00AB0BDE"/>
    <w:rsid w:val="00AB1BB6"/>
    <w:rsid w:val="00AB3037"/>
    <w:rsid w:val="00AB43F4"/>
    <w:rsid w:val="00AB67C0"/>
    <w:rsid w:val="00AB6C16"/>
    <w:rsid w:val="00AB7BB4"/>
    <w:rsid w:val="00AD00AA"/>
    <w:rsid w:val="00AD51F2"/>
    <w:rsid w:val="00AE0873"/>
    <w:rsid w:val="00AE1B58"/>
    <w:rsid w:val="00AE50F8"/>
    <w:rsid w:val="00AE541A"/>
    <w:rsid w:val="00AE5BB2"/>
    <w:rsid w:val="00AE708C"/>
    <w:rsid w:val="00AE796C"/>
    <w:rsid w:val="00AE7DD2"/>
    <w:rsid w:val="00AF0B15"/>
    <w:rsid w:val="00AF1772"/>
    <w:rsid w:val="00AF3355"/>
    <w:rsid w:val="00AF41B5"/>
    <w:rsid w:val="00AF4BEB"/>
    <w:rsid w:val="00AF5A7A"/>
    <w:rsid w:val="00AF5FC9"/>
    <w:rsid w:val="00AF7A8D"/>
    <w:rsid w:val="00B01785"/>
    <w:rsid w:val="00B025AD"/>
    <w:rsid w:val="00B02852"/>
    <w:rsid w:val="00B02BB4"/>
    <w:rsid w:val="00B03FAC"/>
    <w:rsid w:val="00B041C4"/>
    <w:rsid w:val="00B04F90"/>
    <w:rsid w:val="00B11527"/>
    <w:rsid w:val="00B12199"/>
    <w:rsid w:val="00B1395C"/>
    <w:rsid w:val="00B15F38"/>
    <w:rsid w:val="00B15F97"/>
    <w:rsid w:val="00B17BEC"/>
    <w:rsid w:val="00B20676"/>
    <w:rsid w:val="00B20A0F"/>
    <w:rsid w:val="00B21224"/>
    <w:rsid w:val="00B21C14"/>
    <w:rsid w:val="00B21D90"/>
    <w:rsid w:val="00B2212F"/>
    <w:rsid w:val="00B2607E"/>
    <w:rsid w:val="00B26082"/>
    <w:rsid w:val="00B26D28"/>
    <w:rsid w:val="00B277EE"/>
    <w:rsid w:val="00B30899"/>
    <w:rsid w:val="00B36957"/>
    <w:rsid w:val="00B42150"/>
    <w:rsid w:val="00B42303"/>
    <w:rsid w:val="00B42560"/>
    <w:rsid w:val="00B508DC"/>
    <w:rsid w:val="00B517C2"/>
    <w:rsid w:val="00B53F29"/>
    <w:rsid w:val="00B5441C"/>
    <w:rsid w:val="00B556D2"/>
    <w:rsid w:val="00B5581E"/>
    <w:rsid w:val="00B56BD9"/>
    <w:rsid w:val="00B57329"/>
    <w:rsid w:val="00B60A45"/>
    <w:rsid w:val="00B61E58"/>
    <w:rsid w:val="00B64174"/>
    <w:rsid w:val="00B65257"/>
    <w:rsid w:val="00B65556"/>
    <w:rsid w:val="00B73456"/>
    <w:rsid w:val="00B754C4"/>
    <w:rsid w:val="00B75DB2"/>
    <w:rsid w:val="00B807D5"/>
    <w:rsid w:val="00B80B95"/>
    <w:rsid w:val="00B824E7"/>
    <w:rsid w:val="00B83E57"/>
    <w:rsid w:val="00B84A83"/>
    <w:rsid w:val="00B84E89"/>
    <w:rsid w:val="00B86DC8"/>
    <w:rsid w:val="00B87EE0"/>
    <w:rsid w:val="00B91551"/>
    <w:rsid w:val="00B95380"/>
    <w:rsid w:val="00B95F10"/>
    <w:rsid w:val="00B969E7"/>
    <w:rsid w:val="00B96BA3"/>
    <w:rsid w:val="00B97A21"/>
    <w:rsid w:val="00BA056F"/>
    <w:rsid w:val="00BA16F3"/>
    <w:rsid w:val="00BA49E8"/>
    <w:rsid w:val="00BA76FF"/>
    <w:rsid w:val="00BA794D"/>
    <w:rsid w:val="00BA7ED2"/>
    <w:rsid w:val="00BB197B"/>
    <w:rsid w:val="00BB1BF5"/>
    <w:rsid w:val="00BB290F"/>
    <w:rsid w:val="00BB2F07"/>
    <w:rsid w:val="00BB4542"/>
    <w:rsid w:val="00BB7875"/>
    <w:rsid w:val="00BB7BDC"/>
    <w:rsid w:val="00BC319A"/>
    <w:rsid w:val="00BC3707"/>
    <w:rsid w:val="00BC3DBC"/>
    <w:rsid w:val="00BC5D13"/>
    <w:rsid w:val="00BC5D5F"/>
    <w:rsid w:val="00BD1753"/>
    <w:rsid w:val="00BD55C9"/>
    <w:rsid w:val="00BD678F"/>
    <w:rsid w:val="00BE07F4"/>
    <w:rsid w:val="00BE1B0F"/>
    <w:rsid w:val="00BE30D5"/>
    <w:rsid w:val="00BE5783"/>
    <w:rsid w:val="00BE6914"/>
    <w:rsid w:val="00BE755A"/>
    <w:rsid w:val="00BF1018"/>
    <w:rsid w:val="00BF3C37"/>
    <w:rsid w:val="00BF6801"/>
    <w:rsid w:val="00BF7A86"/>
    <w:rsid w:val="00BF7C62"/>
    <w:rsid w:val="00C0047A"/>
    <w:rsid w:val="00C04168"/>
    <w:rsid w:val="00C04273"/>
    <w:rsid w:val="00C05890"/>
    <w:rsid w:val="00C05A0D"/>
    <w:rsid w:val="00C05C14"/>
    <w:rsid w:val="00C064CB"/>
    <w:rsid w:val="00C0663E"/>
    <w:rsid w:val="00C15D5F"/>
    <w:rsid w:val="00C205AA"/>
    <w:rsid w:val="00C219E5"/>
    <w:rsid w:val="00C22132"/>
    <w:rsid w:val="00C23556"/>
    <w:rsid w:val="00C248F2"/>
    <w:rsid w:val="00C2508B"/>
    <w:rsid w:val="00C25573"/>
    <w:rsid w:val="00C25644"/>
    <w:rsid w:val="00C26DBC"/>
    <w:rsid w:val="00C27B4A"/>
    <w:rsid w:val="00C3397D"/>
    <w:rsid w:val="00C3414B"/>
    <w:rsid w:val="00C3615D"/>
    <w:rsid w:val="00C36CDA"/>
    <w:rsid w:val="00C4212A"/>
    <w:rsid w:val="00C435B7"/>
    <w:rsid w:val="00C43CCD"/>
    <w:rsid w:val="00C4560E"/>
    <w:rsid w:val="00C45A25"/>
    <w:rsid w:val="00C46FC9"/>
    <w:rsid w:val="00C47193"/>
    <w:rsid w:val="00C50613"/>
    <w:rsid w:val="00C5115C"/>
    <w:rsid w:val="00C52FE5"/>
    <w:rsid w:val="00C534ED"/>
    <w:rsid w:val="00C54A7A"/>
    <w:rsid w:val="00C55802"/>
    <w:rsid w:val="00C55F2F"/>
    <w:rsid w:val="00C5629D"/>
    <w:rsid w:val="00C612EE"/>
    <w:rsid w:val="00C61BB1"/>
    <w:rsid w:val="00C623EB"/>
    <w:rsid w:val="00C6241D"/>
    <w:rsid w:val="00C650C6"/>
    <w:rsid w:val="00C653AB"/>
    <w:rsid w:val="00C655C0"/>
    <w:rsid w:val="00C70BAD"/>
    <w:rsid w:val="00C7152A"/>
    <w:rsid w:val="00C72520"/>
    <w:rsid w:val="00C72CBE"/>
    <w:rsid w:val="00C740F3"/>
    <w:rsid w:val="00C743F3"/>
    <w:rsid w:val="00C7517A"/>
    <w:rsid w:val="00C754AC"/>
    <w:rsid w:val="00C76FFD"/>
    <w:rsid w:val="00C770D7"/>
    <w:rsid w:val="00C8026C"/>
    <w:rsid w:val="00C82241"/>
    <w:rsid w:val="00C82E30"/>
    <w:rsid w:val="00C82EA3"/>
    <w:rsid w:val="00C843D3"/>
    <w:rsid w:val="00C85871"/>
    <w:rsid w:val="00C902D5"/>
    <w:rsid w:val="00C90869"/>
    <w:rsid w:val="00C9174F"/>
    <w:rsid w:val="00C92B2B"/>
    <w:rsid w:val="00C948A8"/>
    <w:rsid w:val="00CA0643"/>
    <w:rsid w:val="00CA4951"/>
    <w:rsid w:val="00CA4B9A"/>
    <w:rsid w:val="00CA7724"/>
    <w:rsid w:val="00CB0306"/>
    <w:rsid w:val="00CB1D32"/>
    <w:rsid w:val="00CB3C7D"/>
    <w:rsid w:val="00CB459F"/>
    <w:rsid w:val="00CB4F57"/>
    <w:rsid w:val="00CB5855"/>
    <w:rsid w:val="00CB590D"/>
    <w:rsid w:val="00CB75BB"/>
    <w:rsid w:val="00CB7C30"/>
    <w:rsid w:val="00CC36C8"/>
    <w:rsid w:val="00CC3CA2"/>
    <w:rsid w:val="00CC3D5F"/>
    <w:rsid w:val="00CC3E6B"/>
    <w:rsid w:val="00CC41F6"/>
    <w:rsid w:val="00CC524C"/>
    <w:rsid w:val="00CC52FC"/>
    <w:rsid w:val="00CC538B"/>
    <w:rsid w:val="00CC58BF"/>
    <w:rsid w:val="00CC790F"/>
    <w:rsid w:val="00CD1581"/>
    <w:rsid w:val="00CD2416"/>
    <w:rsid w:val="00CD2641"/>
    <w:rsid w:val="00CD5B60"/>
    <w:rsid w:val="00CD6171"/>
    <w:rsid w:val="00CD63C2"/>
    <w:rsid w:val="00CD6D24"/>
    <w:rsid w:val="00CE23BB"/>
    <w:rsid w:val="00CE401B"/>
    <w:rsid w:val="00CE47CE"/>
    <w:rsid w:val="00CE4906"/>
    <w:rsid w:val="00CE5B7E"/>
    <w:rsid w:val="00CF000E"/>
    <w:rsid w:val="00CF03D8"/>
    <w:rsid w:val="00CF07BB"/>
    <w:rsid w:val="00CF0E3E"/>
    <w:rsid w:val="00CF1D1C"/>
    <w:rsid w:val="00CF35B6"/>
    <w:rsid w:val="00D00A61"/>
    <w:rsid w:val="00D0194A"/>
    <w:rsid w:val="00D01B91"/>
    <w:rsid w:val="00D02367"/>
    <w:rsid w:val="00D03117"/>
    <w:rsid w:val="00D05CC9"/>
    <w:rsid w:val="00D06E0F"/>
    <w:rsid w:val="00D1522C"/>
    <w:rsid w:val="00D15A7B"/>
    <w:rsid w:val="00D22EAC"/>
    <w:rsid w:val="00D25978"/>
    <w:rsid w:val="00D27AF9"/>
    <w:rsid w:val="00D314D0"/>
    <w:rsid w:val="00D32276"/>
    <w:rsid w:val="00D41BD9"/>
    <w:rsid w:val="00D45A01"/>
    <w:rsid w:val="00D46ECA"/>
    <w:rsid w:val="00D47CE7"/>
    <w:rsid w:val="00D47ED5"/>
    <w:rsid w:val="00D52828"/>
    <w:rsid w:val="00D52CA6"/>
    <w:rsid w:val="00D56D31"/>
    <w:rsid w:val="00D62259"/>
    <w:rsid w:val="00D7085E"/>
    <w:rsid w:val="00D72175"/>
    <w:rsid w:val="00D7219D"/>
    <w:rsid w:val="00D723E9"/>
    <w:rsid w:val="00D7457A"/>
    <w:rsid w:val="00D815FB"/>
    <w:rsid w:val="00D817BE"/>
    <w:rsid w:val="00D84A59"/>
    <w:rsid w:val="00D86D11"/>
    <w:rsid w:val="00D87C89"/>
    <w:rsid w:val="00D9021C"/>
    <w:rsid w:val="00D90644"/>
    <w:rsid w:val="00D91307"/>
    <w:rsid w:val="00D9166B"/>
    <w:rsid w:val="00D927F0"/>
    <w:rsid w:val="00D9436E"/>
    <w:rsid w:val="00D94413"/>
    <w:rsid w:val="00D9525C"/>
    <w:rsid w:val="00D971E2"/>
    <w:rsid w:val="00DA00BD"/>
    <w:rsid w:val="00DA03D6"/>
    <w:rsid w:val="00DA2021"/>
    <w:rsid w:val="00DA2502"/>
    <w:rsid w:val="00DA2747"/>
    <w:rsid w:val="00DA2827"/>
    <w:rsid w:val="00DA3B9B"/>
    <w:rsid w:val="00DA54B0"/>
    <w:rsid w:val="00DA7653"/>
    <w:rsid w:val="00DA7C74"/>
    <w:rsid w:val="00DB223A"/>
    <w:rsid w:val="00DB26DE"/>
    <w:rsid w:val="00DB3E6F"/>
    <w:rsid w:val="00DB453E"/>
    <w:rsid w:val="00DB4779"/>
    <w:rsid w:val="00DB4BC2"/>
    <w:rsid w:val="00DB4D10"/>
    <w:rsid w:val="00DB5B3B"/>
    <w:rsid w:val="00DB65F0"/>
    <w:rsid w:val="00DB6D4D"/>
    <w:rsid w:val="00DB799D"/>
    <w:rsid w:val="00DC05A8"/>
    <w:rsid w:val="00DC0A54"/>
    <w:rsid w:val="00DC1911"/>
    <w:rsid w:val="00DC1930"/>
    <w:rsid w:val="00DC2C14"/>
    <w:rsid w:val="00DC2D28"/>
    <w:rsid w:val="00DC33ED"/>
    <w:rsid w:val="00DD0017"/>
    <w:rsid w:val="00DD2416"/>
    <w:rsid w:val="00DD42F9"/>
    <w:rsid w:val="00DD4FE3"/>
    <w:rsid w:val="00DD68A9"/>
    <w:rsid w:val="00DD6DFE"/>
    <w:rsid w:val="00DE10FF"/>
    <w:rsid w:val="00DE6616"/>
    <w:rsid w:val="00DE6BA2"/>
    <w:rsid w:val="00DF35D3"/>
    <w:rsid w:val="00DF58EA"/>
    <w:rsid w:val="00DF5965"/>
    <w:rsid w:val="00E043DB"/>
    <w:rsid w:val="00E0635F"/>
    <w:rsid w:val="00E10355"/>
    <w:rsid w:val="00E103D1"/>
    <w:rsid w:val="00E123E2"/>
    <w:rsid w:val="00E12653"/>
    <w:rsid w:val="00E17D28"/>
    <w:rsid w:val="00E211C8"/>
    <w:rsid w:val="00E22C2E"/>
    <w:rsid w:val="00E23CFA"/>
    <w:rsid w:val="00E24043"/>
    <w:rsid w:val="00E25757"/>
    <w:rsid w:val="00E258FB"/>
    <w:rsid w:val="00E26A97"/>
    <w:rsid w:val="00E30F7D"/>
    <w:rsid w:val="00E3147D"/>
    <w:rsid w:val="00E31A37"/>
    <w:rsid w:val="00E31E90"/>
    <w:rsid w:val="00E342EF"/>
    <w:rsid w:val="00E34844"/>
    <w:rsid w:val="00E35421"/>
    <w:rsid w:val="00E36A13"/>
    <w:rsid w:val="00E36A41"/>
    <w:rsid w:val="00E40290"/>
    <w:rsid w:val="00E411F7"/>
    <w:rsid w:val="00E41E78"/>
    <w:rsid w:val="00E447AC"/>
    <w:rsid w:val="00E455DA"/>
    <w:rsid w:val="00E45661"/>
    <w:rsid w:val="00E46AA8"/>
    <w:rsid w:val="00E51EAC"/>
    <w:rsid w:val="00E5271C"/>
    <w:rsid w:val="00E52870"/>
    <w:rsid w:val="00E5418E"/>
    <w:rsid w:val="00E54645"/>
    <w:rsid w:val="00E55475"/>
    <w:rsid w:val="00E56B0B"/>
    <w:rsid w:val="00E608CF"/>
    <w:rsid w:val="00E60E19"/>
    <w:rsid w:val="00E65F06"/>
    <w:rsid w:val="00E665B7"/>
    <w:rsid w:val="00E702E3"/>
    <w:rsid w:val="00E70737"/>
    <w:rsid w:val="00E70C74"/>
    <w:rsid w:val="00E733F3"/>
    <w:rsid w:val="00E73945"/>
    <w:rsid w:val="00E77D17"/>
    <w:rsid w:val="00E80803"/>
    <w:rsid w:val="00E835CC"/>
    <w:rsid w:val="00E83DD1"/>
    <w:rsid w:val="00E8451F"/>
    <w:rsid w:val="00E8478C"/>
    <w:rsid w:val="00E8595B"/>
    <w:rsid w:val="00E85F0C"/>
    <w:rsid w:val="00E86D5C"/>
    <w:rsid w:val="00E86D6B"/>
    <w:rsid w:val="00E87D2A"/>
    <w:rsid w:val="00E90361"/>
    <w:rsid w:val="00E90861"/>
    <w:rsid w:val="00E90FA4"/>
    <w:rsid w:val="00E92489"/>
    <w:rsid w:val="00E93548"/>
    <w:rsid w:val="00E93DF3"/>
    <w:rsid w:val="00E967F4"/>
    <w:rsid w:val="00EA3AE6"/>
    <w:rsid w:val="00EA652D"/>
    <w:rsid w:val="00EB0134"/>
    <w:rsid w:val="00EB0E65"/>
    <w:rsid w:val="00EB13AD"/>
    <w:rsid w:val="00EB621B"/>
    <w:rsid w:val="00EC196D"/>
    <w:rsid w:val="00EC22C6"/>
    <w:rsid w:val="00EC4413"/>
    <w:rsid w:val="00EC67AC"/>
    <w:rsid w:val="00EC77B2"/>
    <w:rsid w:val="00EC7891"/>
    <w:rsid w:val="00EC7D2B"/>
    <w:rsid w:val="00ED2A04"/>
    <w:rsid w:val="00ED36E6"/>
    <w:rsid w:val="00EE173A"/>
    <w:rsid w:val="00EE55E7"/>
    <w:rsid w:val="00EE6738"/>
    <w:rsid w:val="00EE79EF"/>
    <w:rsid w:val="00EF0134"/>
    <w:rsid w:val="00EF0195"/>
    <w:rsid w:val="00EF2F03"/>
    <w:rsid w:val="00EF3C34"/>
    <w:rsid w:val="00EF5E61"/>
    <w:rsid w:val="00EF67D2"/>
    <w:rsid w:val="00EF7610"/>
    <w:rsid w:val="00F00326"/>
    <w:rsid w:val="00F02540"/>
    <w:rsid w:val="00F0367F"/>
    <w:rsid w:val="00F07675"/>
    <w:rsid w:val="00F12186"/>
    <w:rsid w:val="00F12696"/>
    <w:rsid w:val="00F126BA"/>
    <w:rsid w:val="00F13BC6"/>
    <w:rsid w:val="00F14940"/>
    <w:rsid w:val="00F15220"/>
    <w:rsid w:val="00F15F83"/>
    <w:rsid w:val="00F20F35"/>
    <w:rsid w:val="00F22279"/>
    <w:rsid w:val="00F22338"/>
    <w:rsid w:val="00F22F84"/>
    <w:rsid w:val="00F23941"/>
    <w:rsid w:val="00F2437A"/>
    <w:rsid w:val="00F25F38"/>
    <w:rsid w:val="00F2723E"/>
    <w:rsid w:val="00F27F7D"/>
    <w:rsid w:val="00F320AB"/>
    <w:rsid w:val="00F343BA"/>
    <w:rsid w:val="00F42D6E"/>
    <w:rsid w:val="00F42DAA"/>
    <w:rsid w:val="00F439B8"/>
    <w:rsid w:val="00F519D9"/>
    <w:rsid w:val="00F52263"/>
    <w:rsid w:val="00F5256A"/>
    <w:rsid w:val="00F57C2D"/>
    <w:rsid w:val="00F60445"/>
    <w:rsid w:val="00F60970"/>
    <w:rsid w:val="00F62B38"/>
    <w:rsid w:val="00F62CB2"/>
    <w:rsid w:val="00F62D92"/>
    <w:rsid w:val="00F65B98"/>
    <w:rsid w:val="00F6622E"/>
    <w:rsid w:val="00F66F48"/>
    <w:rsid w:val="00F71CB5"/>
    <w:rsid w:val="00F71F0D"/>
    <w:rsid w:val="00F73AA7"/>
    <w:rsid w:val="00F74942"/>
    <w:rsid w:val="00F76DEE"/>
    <w:rsid w:val="00F803E8"/>
    <w:rsid w:val="00F82F2A"/>
    <w:rsid w:val="00F84F44"/>
    <w:rsid w:val="00F8726A"/>
    <w:rsid w:val="00F91C79"/>
    <w:rsid w:val="00F92D4C"/>
    <w:rsid w:val="00F92F03"/>
    <w:rsid w:val="00F94FEF"/>
    <w:rsid w:val="00F96068"/>
    <w:rsid w:val="00F974EC"/>
    <w:rsid w:val="00FA1121"/>
    <w:rsid w:val="00FA1B2A"/>
    <w:rsid w:val="00FA5B4A"/>
    <w:rsid w:val="00FA6CD6"/>
    <w:rsid w:val="00FA78CF"/>
    <w:rsid w:val="00FB0E9D"/>
    <w:rsid w:val="00FB18B1"/>
    <w:rsid w:val="00FB18E9"/>
    <w:rsid w:val="00FB1D22"/>
    <w:rsid w:val="00FB2E41"/>
    <w:rsid w:val="00FB4210"/>
    <w:rsid w:val="00FB49D2"/>
    <w:rsid w:val="00FB5610"/>
    <w:rsid w:val="00FC0251"/>
    <w:rsid w:val="00FC1D66"/>
    <w:rsid w:val="00FC3624"/>
    <w:rsid w:val="00FC3917"/>
    <w:rsid w:val="00FC4BEB"/>
    <w:rsid w:val="00FC4DCC"/>
    <w:rsid w:val="00FD0BEE"/>
    <w:rsid w:val="00FD3ECE"/>
    <w:rsid w:val="00FD4517"/>
    <w:rsid w:val="00FD4772"/>
    <w:rsid w:val="00FD69C4"/>
    <w:rsid w:val="00FD6DEF"/>
    <w:rsid w:val="00FD7655"/>
    <w:rsid w:val="00FE083C"/>
    <w:rsid w:val="00FE2807"/>
    <w:rsid w:val="00FE3D36"/>
    <w:rsid w:val="00FE3D72"/>
    <w:rsid w:val="00FE4C3B"/>
    <w:rsid w:val="00FE5B55"/>
    <w:rsid w:val="00FE6B64"/>
    <w:rsid w:val="00FE6D4A"/>
    <w:rsid w:val="00FF0434"/>
    <w:rsid w:val="00FF1445"/>
    <w:rsid w:val="00FF1649"/>
    <w:rsid w:val="00FF1ADD"/>
    <w:rsid w:val="00FF2499"/>
    <w:rsid w:val="00FF30B3"/>
    <w:rsid w:val="00FF3100"/>
    <w:rsid w:val="00FF318B"/>
    <w:rsid w:val="00FF3377"/>
    <w:rsid w:val="00FF48DB"/>
    <w:rsid w:val="00FF49E3"/>
    <w:rsid w:val="00FF581E"/>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05063"/>
  <w14:defaultImageDpi w14:val="300"/>
  <w15:docId w15:val="{BFE09D68-FF60-C24A-8146-7861E27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A79"/>
  </w:style>
  <w:style w:type="paragraph" w:styleId="Heading1">
    <w:name w:val="heading 1"/>
    <w:basedOn w:val="Quote"/>
    <w:next w:val="Normal"/>
    <w:link w:val="Heading1Char"/>
    <w:uiPriority w:val="9"/>
    <w:qFormat/>
    <w:rsid w:val="000E1025"/>
    <w:pPr>
      <w:outlineLvl w:val="0"/>
    </w:pPr>
  </w:style>
  <w:style w:type="paragraph" w:styleId="Heading2">
    <w:name w:val="heading 2"/>
    <w:basedOn w:val="ListParagraph"/>
    <w:next w:val="Normal"/>
    <w:link w:val="Heading2Char"/>
    <w:uiPriority w:val="9"/>
    <w:unhideWhenUsed/>
    <w:qFormat/>
    <w:rsid w:val="009407D1"/>
    <w:pPr>
      <w:numPr>
        <w:numId w:val="2"/>
      </w:numPr>
      <w:outlineLvl w:val="1"/>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essible"/>
    <w:uiPriority w:val="1"/>
    <w:qFormat/>
    <w:rsid w:val="00693A79"/>
  </w:style>
  <w:style w:type="paragraph" w:styleId="BalloonText">
    <w:name w:val="Balloon Text"/>
    <w:basedOn w:val="Normal"/>
    <w:link w:val="BalloonTextChar"/>
    <w:uiPriority w:val="99"/>
    <w:semiHidden/>
    <w:unhideWhenUsed/>
    <w:rsid w:val="00F71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B5"/>
    <w:rPr>
      <w:rFonts w:ascii="Lucida Grande" w:hAnsi="Lucida Grande" w:cs="Lucida Grande"/>
      <w:sz w:val="18"/>
      <w:szCs w:val="18"/>
    </w:rPr>
  </w:style>
  <w:style w:type="paragraph" w:styleId="Header">
    <w:name w:val="header"/>
    <w:basedOn w:val="Normal"/>
    <w:link w:val="HeaderChar"/>
    <w:uiPriority w:val="99"/>
    <w:unhideWhenUsed/>
    <w:rsid w:val="00655EE2"/>
    <w:pPr>
      <w:tabs>
        <w:tab w:val="center" w:pos="4320"/>
        <w:tab w:val="right" w:pos="8640"/>
      </w:tabs>
    </w:pPr>
  </w:style>
  <w:style w:type="character" w:customStyle="1" w:styleId="HeaderChar">
    <w:name w:val="Header Char"/>
    <w:basedOn w:val="DefaultParagraphFont"/>
    <w:link w:val="Header"/>
    <w:uiPriority w:val="99"/>
    <w:rsid w:val="00655EE2"/>
  </w:style>
  <w:style w:type="paragraph" w:styleId="Footer">
    <w:name w:val="footer"/>
    <w:basedOn w:val="Normal"/>
    <w:link w:val="FooterChar"/>
    <w:uiPriority w:val="99"/>
    <w:unhideWhenUsed/>
    <w:rsid w:val="00655EE2"/>
    <w:pPr>
      <w:tabs>
        <w:tab w:val="center" w:pos="4320"/>
        <w:tab w:val="right" w:pos="8640"/>
      </w:tabs>
    </w:pPr>
  </w:style>
  <w:style w:type="character" w:customStyle="1" w:styleId="FooterChar">
    <w:name w:val="Footer Char"/>
    <w:basedOn w:val="DefaultParagraphFont"/>
    <w:link w:val="Footer"/>
    <w:uiPriority w:val="99"/>
    <w:rsid w:val="00655EE2"/>
  </w:style>
  <w:style w:type="paragraph" w:styleId="ListParagraph">
    <w:name w:val="List Paragraph"/>
    <w:basedOn w:val="Normal"/>
    <w:uiPriority w:val="34"/>
    <w:qFormat/>
    <w:rsid w:val="00655EE2"/>
    <w:pPr>
      <w:ind w:left="720"/>
      <w:contextualSpacing/>
    </w:pPr>
  </w:style>
  <w:style w:type="paragraph" w:styleId="Quote">
    <w:name w:val="Quote"/>
    <w:basedOn w:val="ListParagraph"/>
    <w:next w:val="Normal"/>
    <w:link w:val="QuoteChar"/>
    <w:uiPriority w:val="29"/>
    <w:qFormat/>
    <w:rsid w:val="00C45A25"/>
    <w:pPr>
      <w:numPr>
        <w:numId w:val="1"/>
      </w:numPr>
    </w:pPr>
    <w:rPr>
      <w:rFonts w:ascii="Times New Roman" w:hAnsi="Times New Roman"/>
      <w:smallCaps/>
    </w:rPr>
  </w:style>
  <w:style w:type="character" w:customStyle="1" w:styleId="QuoteChar">
    <w:name w:val="Quote Char"/>
    <w:basedOn w:val="DefaultParagraphFont"/>
    <w:link w:val="Quote"/>
    <w:uiPriority w:val="29"/>
    <w:rsid w:val="00C45A25"/>
    <w:rPr>
      <w:rFonts w:ascii="Times New Roman" w:hAnsi="Times New Roman"/>
      <w:smallCaps/>
    </w:rPr>
  </w:style>
  <w:style w:type="character" w:customStyle="1" w:styleId="Heading1Char">
    <w:name w:val="Heading 1 Char"/>
    <w:basedOn w:val="DefaultParagraphFont"/>
    <w:link w:val="Heading1"/>
    <w:uiPriority w:val="9"/>
    <w:rsid w:val="000E1025"/>
    <w:rPr>
      <w:rFonts w:ascii="Times New Roman" w:hAnsi="Times New Roman"/>
      <w:smallCaps/>
    </w:rPr>
  </w:style>
  <w:style w:type="paragraph" w:styleId="TOC5">
    <w:name w:val="toc 5"/>
    <w:basedOn w:val="Normal"/>
    <w:next w:val="Normal"/>
    <w:autoRedefine/>
    <w:uiPriority w:val="39"/>
    <w:unhideWhenUsed/>
    <w:rsid w:val="000914C8"/>
    <w:pPr>
      <w:ind w:left="960"/>
    </w:pPr>
  </w:style>
  <w:style w:type="paragraph" w:styleId="TOC1">
    <w:name w:val="toc 1"/>
    <w:basedOn w:val="Normal"/>
    <w:next w:val="Normal"/>
    <w:autoRedefine/>
    <w:uiPriority w:val="39"/>
    <w:unhideWhenUsed/>
    <w:rsid w:val="0027059A"/>
    <w:pPr>
      <w:spacing w:after="100"/>
    </w:pPr>
    <w:rPr>
      <w:rFonts w:ascii="Times New Roman" w:hAnsi="Times New Roman"/>
      <w:smallCaps/>
    </w:rPr>
  </w:style>
  <w:style w:type="paragraph" w:styleId="TOC2">
    <w:name w:val="toc 2"/>
    <w:basedOn w:val="Normal"/>
    <w:next w:val="Normal"/>
    <w:autoRedefine/>
    <w:uiPriority w:val="39"/>
    <w:unhideWhenUsed/>
    <w:rsid w:val="0027059A"/>
    <w:pPr>
      <w:spacing w:after="100"/>
      <w:ind w:left="240"/>
    </w:pPr>
    <w:rPr>
      <w:rFonts w:ascii="Times New Roman" w:hAnsi="Times New Roman"/>
      <w:i/>
    </w:rPr>
  </w:style>
  <w:style w:type="paragraph" w:styleId="TOC3">
    <w:name w:val="toc 3"/>
    <w:basedOn w:val="Normal"/>
    <w:next w:val="Normal"/>
    <w:autoRedefine/>
    <w:uiPriority w:val="39"/>
    <w:unhideWhenUsed/>
    <w:rsid w:val="000914C8"/>
    <w:pPr>
      <w:spacing w:after="100"/>
      <w:ind w:left="480"/>
    </w:pPr>
    <w:rPr>
      <w:rFonts w:ascii="Times New Roman" w:hAnsi="Times New Roman"/>
    </w:rPr>
  </w:style>
  <w:style w:type="paragraph" w:styleId="TOC4">
    <w:name w:val="toc 4"/>
    <w:basedOn w:val="Normal"/>
    <w:next w:val="Normal"/>
    <w:autoRedefine/>
    <w:uiPriority w:val="39"/>
    <w:unhideWhenUsed/>
    <w:rsid w:val="00C47193"/>
    <w:pPr>
      <w:spacing w:after="120"/>
      <w:ind w:left="720"/>
    </w:pPr>
    <w:rPr>
      <w:rFonts w:ascii="Times New Roman" w:hAnsi="Times New Roman"/>
    </w:rPr>
  </w:style>
  <w:style w:type="paragraph" w:styleId="TOC6">
    <w:name w:val="toc 6"/>
    <w:basedOn w:val="Normal"/>
    <w:next w:val="Normal"/>
    <w:autoRedefine/>
    <w:uiPriority w:val="39"/>
    <w:unhideWhenUsed/>
    <w:rsid w:val="000914C8"/>
    <w:pPr>
      <w:ind w:left="1200"/>
    </w:pPr>
  </w:style>
  <w:style w:type="paragraph" w:styleId="TOC7">
    <w:name w:val="toc 7"/>
    <w:basedOn w:val="Normal"/>
    <w:next w:val="Normal"/>
    <w:autoRedefine/>
    <w:uiPriority w:val="39"/>
    <w:unhideWhenUsed/>
    <w:rsid w:val="000914C8"/>
    <w:pPr>
      <w:ind w:left="1440"/>
    </w:pPr>
  </w:style>
  <w:style w:type="paragraph" w:styleId="TOC8">
    <w:name w:val="toc 8"/>
    <w:basedOn w:val="Normal"/>
    <w:next w:val="Normal"/>
    <w:autoRedefine/>
    <w:uiPriority w:val="39"/>
    <w:unhideWhenUsed/>
    <w:rsid w:val="000914C8"/>
    <w:pPr>
      <w:ind w:left="1680"/>
    </w:pPr>
  </w:style>
  <w:style w:type="paragraph" w:styleId="TOC9">
    <w:name w:val="toc 9"/>
    <w:basedOn w:val="Normal"/>
    <w:next w:val="Normal"/>
    <w:autoRedefine/>
    <w:uiPriority w:val="39"/>
    <w:unhideWhenUsed/>
    <w:rsid w:val="000914C8"/>
    <w:pPr>
      <w:ind w:left="1920"/>
    </w:pPr>
  </w:style>
  <w:style w:type="character" w:customStyle="1" w:styleId="Heading2Char">
    <w:name w:val="Heading 2 Char"/>
    <w:basedOn w:val="DefaultParagraphFont"/>
    <w:link w:val="Heading2"/>
    <w:uiPriority w:val="9"/>
    <w:rsid w:val="009407D1"/>
    <w:rPr>
      <w:rFonts w:ascii="Times New Roman" w:hAnsi="Times New Roman"/>
      <w:i/>
      <w:iCs/>
    </w:rPr>
  </w:style>
  <w:style w:type="character" w:styleId="PageNumber">
    <w:name w:val="page number"/>
    <w:basedOn w:val="DefaultParagraphFont"/>
    <w:uiPriority w:val="99"/>
    <w:semiHidden/>
    <w:unhideWhenUsed/>
    <w:rsid w:val="00B21C14"/>
  </w:style>
  <w:style w:type="paragraph" w:styleId="FootnoteText">
    <w:name w:val="footnote text"/>
    <w:basedOn w:val="Normal"/>
    <w:link w:val="FootnoteTextChar"/>
    <w:uiPriority w:val="99"/>
    <w:unhideWhenUsed/>
    <w:rsid w:val="00E455DA"/>
    <w:rPr>
      <w:rFonts w:ascii="Avenir Book" w:hAnsi="Avenir Book"/>
      <w:sz w:val="18"/>
    </w:rPr>
  </w:style>
  <w:style w:type="character" w:customStyle="1" w:styleId="FootnoteTextChar">
    <w:name w:val="Footnote Text Char"/>
    <w:basedOn w:val="DefaultParagraphFont"/>
    <w:link w:val="FootnoteText"/>
    <w:uiPriority w:val="99"/>
    <w:rsid w:val="00E455DA"/>
    <w:rPr>
      <w:rFonts w:ascii="Avenir Book" w:hAnsi="Avenir Book"/>
      <w:sz w:val="18"/>
    </w:rPr>
  </w:style>
  <w:style w:type="character" w:styleId="FootnoteReference">
    <w:name w:val="footnote reference"/>
    <w:basedOn w:val="DefaultParagraphFont"/>
    <w:uiPriority w:val="99"/>
    <w:unhideWhenUsed/>
    <w:rsid w:val="000649A9"/>
    <w:rPr>
      <w:vertAlign w:val="superscript"/>
    </w:rPr>
  </w:style>
  <w:style w:type="paragraph" w:styleId="EndnoteText">
    <w:name w:val="endnote text"/>
    <w:basedOn w:val="Normal"/>
    <w:link w:val="EndnoteTextChar"/>
    <w:uiPriority w:val="99"/>
    <w:unhideWhenUsed/>
    <w:rsid w:val="00591243"/>
  </w:style>
  <w:style w:type="character" w:customStyle="1" w:styleId="EndnoteTextChar">
    <w:name w:val="Endnote Text Char"/>
    <w:basedOn w:val="DefaultParagraphFont"/>
    <w:link w:val="EndnoteText"/>
    <w:uiPriority w:val="99"/>
    <w:rsid w:val="00591243"/>
  </w:style>
  <w:style w:type="character" w:styleId="EndnoteReference">
    <w:name w:val="endnote reference"/>
    <w:basedOn w:val="DefaultParagraphFont"/>
    <w:uiPriority w:val="99"/>
    <w:unhideWhenUsed/>
    <w:rsid w:val="00591243"/>
    <w:rPr>
      <w:vertAlign w:val="superscript"/>
    </w:rPr>
  </w:style>
  <w:style w:type="character" w:styleId="CommentReference">
    <w:name w:val="annotation reference"/>
    <w:basedOn w:val="DefaultParagraphFont"/>
    <w:uiPriority w:val="99"/>
    <w:semiHidden/>
    <w:unhideWhenUsed/>
    <w:rsid w:val="009E0F90"/>
    <w:rPr>
      <w:sz w:val="16"/>
      <w:szCs w:val="16"/>
    </w:rPr>
  </w:style>
  <w:style w:type="paragraph" w:styleId="CommentText">
    <w:name w:val="annotation text"/>
    <w:basedOn w:val="Normal"/>
    <w:link w:val="CommentTextChar"/>
    <w:uiPriority w:val="99"/>
    <w:unhideWhenUsed/>
    <w:rsid w:val="009E0F90"/>
    <w:rPr>
      <w:sz w:val="20"/>
      <w:szCs w:val="20"/>
    </w:rPr>
  </w:style>
  <w:style w:type="character" w:customStyle="1" w:styleId="CommentTextChar">
    <w:name w:val="Comment Text Char"/>
    <w:basedOn w:val="DefaultParagraphFont"/>
    <w:link w:val="CommentText"/>
    <w:uiPriority w:val="99"/>
    <w:rsid w:val="009E0F90"/>
    <w:rPr>
      <w:sz w:val="20"/>
      <w:szCs w:val="20"/>
    </w:rPr>
  </w:style>
  <w:style w:type="paragraph" w:styleId="CommentSubject">
    <w:name w:val="annotation subject"/>
    <w:basedOn w:val="CommentText"/>
    <w:next w:val="CommentText"/>
    <w:link w:val="CommentSubjectChar"/>
    <w:uiPriority w:val="99"/>
    <w:semiHidden/>
    <w:unhideWhenUsed/>
    <w:rsid w:val="009E0F90"/>
    <w:rPr>
      <w:b/>
      <w:bCs/>
    </w:rPr>
  </w:style>
  <w:style w:type="character" w:customStyle="1" w:styleId="CommentSubjectChar">
    <w:name w:val="Comment Subject Char"/>
    <w:basedOn w:val="CommentTextChar"/>
    <w:link w:val="CommentSubject"/>
    <w:uiPriority w:val="99"/>
    <w:semiHidden/>
    <w:rsid w:val="009E0F90"/>
    <w:rPr>
      <w:b/>
      <w:bCs/>
      <w:sz w:val="20"/>
      <w:szCs w:val="20"/>
    </w:rPr>
  </w:style>
  <w:style w:type="paragraph" w:styleId="NormalWeb">
    <w:name w:val="Normal (Web)"/>
    <w:basedOn w:val="Normal"/>
    <w:uiPriority w:val="99"/>
    <w:semiHidden/>
    <w:unhideWhenUsed/>
    <w:rsid w:val="001505EC"/>
    <w:rPr>
      <w:rFonts w:ascii="Times New Roman" w:hAnsi="Times New Roman"/>
    </w:rPr>
  </w:style>
  <w:style w:type="character" w:styleId="Hyperlink">
    <w:name w:val="Hyperlink"/>
    <w:basedOn w:val="DefaultParagraphFont"/>
    <w:uiPriority w:val="99"/>
    <w:unhideWhenUsed/>
    <w:rsid w:val="005959A4"/>
    <w:rPr>
      <w:color w:val="0000FF" w:themeColor="hyperlink"/>
      <w:u w:val="single"/>
    </w:rPr>
  </w:style>
  <w:style w:type="character" w:styleId="UnresolvedMention">
    <w:name w:val="Unresolved Mention"/>
    <w:basedOn w:val="DefaultParagraphFont"/>
    <w:uiPriority w:val="99"/>
    <w:semiHidden/>
    <w:unhideWhenUsed/>
    <w:rsid w:val="0059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4489">
      <w:bodyDiv w:val="1"/>
      <w:marLeft w:val="0"/>
      <w:marRight w:val="0"/>
      <w:marTop w:val="0"/>
      <w:marBottom w:val="0"/>
      <w:divBdr>
        <w:top w:val="none" w:sz="0" w:space="0" w:color="auto"/>
        <w:left w:val="none" w:sz="0" w:space="0" w:color="auto"/>
        <w:bottom w:val="none" w:sz="0" w:space="0" w:color="auto"/>
        <w:right w:val="none" w:sz="0" w:space="0" w:color="auto"/>
      </w:divBdr>
      <w:divsChild>
        <w:div w:id="676688325">
          <w:marLeft w:val="0"/>
          <w:marRight w:val="0"/>
          <w:marTop w:val="0"/>
          <w:marBottom w:val="0"/>
          <w:divBdr>
            <w:top w:val="none" w:sz="0" w:space="0" w:color="auto"/>
            <w:left w:val="none" w:sz="0" w:space="0" w:color="auto"/>
            <w:bottom w:val="none" w:sz="0" w:space="0" w:color="auto"/>
            <w:right w:val="none" w:sz="0" w:space="0" w:color="auto"/>
          </w:divBdr>
          <w:divsChild>
            <w:div w:id="1902985091">
              <w:marLeft w:val="0"/>
              <w:marRight w:val="0"/>
              <w:marTop w:val="0"/>
              <w:marBottom w:val="0"/>
              <w:divBdr>
                <w:top w:val="none" w:sz="0" w:space="0" w:color="auto"/>
                <w:left w:val="none" w:sz="0" w:space="0" w:color="auto"/>
                <w:bottom w:val="none" w:sz="0" w:space="0" w:color="auto"/>
                <w:right w:val="none" w:sz="0" w:space="0" w:color="auto"/>
              </w:divBdr>
              <w:divsChild>
                <w:div w:id="1331788715">
                  <w:marLeft w:val="0"/>
                  <w:marRight w:val="0"/>
                  <w:marTop w:val="0"/>
                  <w:marBottom w:val="0"/>
                  <w:divBdr>
                    <w:top w:val="none" w:sz="0" w:space="0" w:color="auto"/>
                    <w:left w:val="none" w:sz="0" w:space="0" w:color="auto"/>
                    <w:bottom w:val="none" w:sz="0" w:space="0" w:color="auto"/>
                    <w:right w:val="none" w:sz="0" w:space="0" w:color="auto"/>
                  </w:divBdr>
                  <w:divsChild>
                    <w:div w:id="18534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523">
      <w:bodyDiv w:val="1"/>
      <w:marLeft w:val="0"/>
      <w:marRight w:val="0"/>
      <w:marTop w:val="0"/>
      <w:marBottom w:val="0"/>
      <w:divBdr>
        <w:top w:val="none" w:sz="0" w:space="0" w:color="auto"/>
        <w:left w:val="none" w:sz="0" w:space="0" w:color="auto"/>
        <w:bottom w:val="none" w:sz="0" w:space="0" w:color="auto"/>
        <w:right w:val="none" w:sz="0" w:space="0" w:color="auto"/>
      </w:divBdr>
      <w:divsChild>
        <w:div w:id="1971397573">
          <w:marLeft w:val="0"/>
          <w:marRight w:val="0"/>
          <w:marTop w:val="0"/>
          <w:marBottom w:val="0"/>
          <w:divBdr>
            <w:top w:val="none" w:sz="0" w:space="0" w:color="auto"/>
            <w:left w:val="none" w:sz="0" w:space="0" w:color="auto"/>
            <w:bottom w:val="none" w:sz="0" w:space="0" w:color="auto"/>
            <w:right w:val="none" w:sz="0" w:space="0" w:color="auto"/>
          </w:divBdr>
          <w:divsChild>
            <w:div w:id="437797352">
              <w:marLeft w:val="0"/>
              <w:marRight w:val="0"/>
              <w:marTop w:val="0"/>
              <w:marBottom w:val="0"/>
              <w:divBdr>
                <w:top w:val="none" w:sz="0" w:space="0" w:color="auto"/>
                <w:left w:val="none" w:sz="0" w:space="0" w:color="auto"/>
                <w:bottom w:val="none" w:sz="0" w:space="0" w:color="auto"/>
                <w:right w:val="none" w:sz="0" w:space="0" w:color="auto"/>
              </w:divBdr>
              <w:divsChild>
                <w:div w:id="382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67784">
      <w:bodyDiv w:val="1"/>
      <w:marLeft w:val="0"/>
      <w:marRight w:val="0"/>
      <w:marTop w:val="0"/>
      <w:marBottom w:val="0"/>
      <w:divBdr>
        <w:top w:val="none" w:sz="0" w:space="0" w:color="auto"/>
        <w:left w:val="none" w:sz="0" w:space="0" w:color="auto"/>
        <w:bottom w:val="none" w:sz="0" w:space="0" w:color="auto"/>
        <w:right w:val="none" w:sz="0" w:space="0" w:color="auto"/>
      </w:divBdr>
    </w:div>
    <w:div w:id="1624577261">
      <w:bodyDiv w:val="1"/>
      <w:marLeft w:val="0"/>
      <w:marRight w:val="0"/>
      <w:marTop w:val="0"/>
      <w:marBottom w:val="0"/>
      <w:divBdr>
        <w:top w:val="none" w:sz="0" w:space="0" w:color="auto"/>
        <w:left w:val="none" w:sz="0" w:space="0" w:color="auto"/>
        <w:bottom w:val="none" w:sz="0" w:space="0" w:color="auto"/>
        <w:right w:val="none" w:sz="0" w:space="0" w:color="auto"/>
      </w:divBdr>
    </w:div>
    <w:div w:id="1677728159">
      <w:bodyDiv w:val="1"/>
      <w:marLeft w:val="0"/>
      <w:marRight w:val="0"/>
      <w:marTop w:val="0"/>
      <w:marBottom w:val="0"/>
      <w:divBdr>
        <w:top w:val="none" w:sz="0" w:space="0" w:color="auto"/>
        <w:left w:val="none" w:sz="0" w:space="0" w:color="auto"/>
        <w:bottom w:val="none" w:sz="0" w:space="0" w:color="auto"/>
        <w:right w:val="none" w:sz="0" w:space="0" w:color="auto"/>
      </w:divBdr>
    </w:div>
    <w:div w:id="1926764878">
      <w:bodyDiv w:val="1"/>
      <w:marLeft w:val="0"/>
      <w:marRight w:val="0"/>
      <w:marTop w:val="0"/>
      <w:marBottom w:val="0"/>
      <w:divBdr>
        <w:top w:val="none" w:sz="0" w:space="0" w:color="auto"/>
        <w:left w:val="none" w:sz="0" w:space="0" w:color="auto"/>
        <w:bottom w:val="none" w:sz="0" w:space="0" w:color="auto"/>
        <w:right w:val="none" w:sz="0" w:space="0" w:color="auto"/>
      </w:divBdr>
    </w:div>
    <w:div w:id="2012020804">
      <w:bodyDiv w:val="1"/>
      <w:marLeft w:val="0"/>
      <w:marRight w:val="0"/>
      <w:marTop w:val="0"/>
      <w:marBottom w:val="0"/>
      <w:divBdr>
        <w:top w:val="none" w:sz="0" w:space="0" w:color="auto"/>
        <w:left w:val="none" w:sz="0" w:space="0" w:color="auto"/>
        <w:bottom w:val="none" w:sz="0" w:space="0" w:color="auto"/>
        <w:right w:val="none" w:sz="0" w:space="0" w:color="auto"/>
      </w:divBdr>
      <w:divsChild>
        <w:div w:id="293022849">
          <w:marLeft w:val="0"/>
          <w:marRight w:val="0"/>
          <w:marTop w:val="0"/>
          <w:marBottom w:val="0"/>
          <w:divBdr>
            <w:top w:val="none" w:sz="0" w:space="0" w:color="auto"/>
            <w:left w:val="none" w:sz="0" w:space="0" w:color="auto"/>
            <w:bottom w:val="none" w:sz="0" w:space="0" w:color="auto"/>
            <w:right w:val="none" w:sz="0" w:space="0" w:color="auto"/>
          </w:divBdr>
          <w:divsChild>
            <w:div w:id="1990934529">
              <w:marLeft w:val="0"/>
              <w:marRight w:val="0"/>
              <w:marTop w:val="0"/>
              <w:marBottom w:val="0"/>
              <w:divBdr>
                <w:top w:val="none" w:sz="0" w:space="0" w:color="auto"/>
                <w:left w:val="none" w:sz="0" w:space="0" w:color="auto"/>
                <w:bottom w:val="none" w:sz="0" w:space="0" w:color="auto"/>
                <w:right w:val="none" w:sz="0" w:space="0" w:color="auto"/>
              </w:divBdr>
              <w:divsChild>
                <w:div w:id="10753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0" baseline="0">
                <a:solidFill>
                  <a:sysClr val="windowText" lastClr="000000"/>
                </a:solidFill>
                <a:latin typeface="Avenir Medium"/>
                <a:ea typeface="+mn-ea"/>
                <a:cs typeface="Avenir Medium"/>
              </a:defRPr>
            </a:pPr>
            <a:r>
              <a:rPr lang="en-US" sz="1200" b="0" kern="0">
                <a:latin typeface="Avenir Medium"/>
                <a:cs typeface="Avenir Medium"/>
              </a:rPr>
              <a:t>Figure</a:t>
            </a:r>
            <a:r>
              <a:rPr lang="en-US" sz="1200" b="0" kern="0" baseline="0">
                <a:latin typeface="Avenir Medium"/>
                <a:cs typeface="Avenir Medium"/>
              </a:rPr>
              <a:t> 1. Types of Disabilities Among Transgender Adults</a:t>
            </a:r>
            <a:r>
              <a:rPr lang="en-US" sz="1200" b="0" kern="0" baseline="30000">
                <a:latin typeface="Avenir Book"/>
                <a:cs typeface="Avenir Book"/>
              </a:rPr>
              <a:t>18</a:t>
            </a:r>
            <a:endParaRPr lang="en-US" sz="1800" b="0" baseline="30000">
              <a:effectLst/>
              <a:latin typeface="Avenir Book"/>
              <a:cs typeface="Avenir Book"/>
            </a:endParaRPr>
          </a:p>
        </c:rich>
      </c:tx>
      <c:layout>
        <c:manualLayout>
          <c:xMode val="edge"/>
          <c:yMode val="edge"/>
          <c:x val="0"/>
          <c:y val="1.26362344021482E-2"/>
        </c:manualLayout>
      </c:layout>
      <c:overlay val="0"/>
    </c:title>
    <c:autoTitleDeleted val="0"/>
    <c:plotArea>
      <c:layout>
        <c:manualLayout>
          <c:layoutTarget val="inner"/>
          <c:xMode val="edge"/>
          <c:yMode val="edge"/>
          <c:x val="7.0162339328128195E-2"/>
          <c:y val="0.17558201528345499"/>
          <c:w val="0.90492390061054595"/>
          <c:h val="0.50125564111293797"/>
        </c:manualLayout>
      </c:layout>
      <c:barChart>
        <c:barDir val="col"/>
        <c:grouping val="clustered"/>
        <c:varyColors val="0"/>
        <c:ser>
          <c:idx val="0"/>
          <c:order val="0"/>
          <c:tx>
            <c:strRef>
              <c:f>Sheet1!$B$1</c:f>
              <c:strCache>
                <c:ptCount val="1"/>
                <c:pt idx="0">
                  <c:v>% of Transgender Respondents</c:v>
                </c:pt>
              </c:strCache>
            </c:strRef>
          </c:tx>
          <c:invertIfNegative val="0"/>
          <c:dLbls>
            <c:spPr>
              <a:noFill/>
              <a:ln>
                <a:noFill/>
              </a:ln>
              <a:effectLst/>
            </c:spPr>
            <c:txPr>
              <a:bodyPr/>
              <a:lstStyle/>
              <a:p>
                <a:pPr>
                  <a:defRPr>
                    <a:latin typeface="Avenir Boo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Deaf or serious difficulty hearing</c:v>
                </c:pt>
                <c:pt idx="1">
                  <c:v>Blind or serious difficulty seeing even while wearing glasses </c:v>
                </c:pt>
                <c:pt idx="2">
                  <c:v>Serious difficulty concentrating, remembering, or making decisions because of a physical, mental, or emotional condition </c:v>
                </c:pt>
                <c:pt idx="3">
                  <c:v>Serious difficulty walking or climbing stairs</c:v>
                </c:pt>
                <c:pt idx="4">
                  <c:v>Difficulty dressing or bathing</c:v>
                </c:pt>
                <c:pt idx="5">
                  <c:v>Difficulty doing errands alone because of a physical, mental, or emotional condition</c:v>
                </c:pt>
              </c:strCache>
            </c:strRef>
          </c:cat>
          <c:val>
            <c:numRef>
              <c:f>Sheet1!$B$2:$B$7</c:f>
              <c:numCache>
                <c:formatCode>0%</c:formatCode>
                <c:ptCount val="6"/>
                <c:pt idx="0">
                  <c:v>0.04</c:v>
                </c:pt>
                <c:pt idx="1">
                  <c:v>0.03</c:v>
                </c:pt>
                <c:pt idx="2">
                  <c:v>0.3</c:v>
                </c:pt>
                <c:pt idx="3">
                  <c:v>0.06</c:v>
                </c:pt>
                <c:pt idx="4">
                  <c:v>0.03</c:v>
                </c:pt>
                <c:pt idx="5">
                  <c:v>0.22</c:v>
                </c:pt>
              </c:numCache>
            </c:numRef>
          </c:val>
          <c:extLst>
            <c:ext xmlns:c16="http://schemas.microsoft.com/office/drawing/2014/chart" uri="{C3380CC4-5D6E-409C-BE32-E72D297353CC}">
              <c16:uniqueId val="{00000000-91DA-E948-8649-35637B76E67B}"/>
            </c:ext>
          </c:extLst>
        </c:ser>
        <c:ser>
          <c:idx val="1"/>
          <c:order val="1"/>
          <c:tx>
            <c:strRef>
              <c:f>Sheet1!$C$1</c:f>
              <c:strCache>
                <c:ptCount val="1"/>
                <c:pt idx="0">
                  <c:v>% in U.S. Population</c:v>
                </c:pt>
              </c:strCache>
            </c:strRef>
          </c:tx>
          <c:invertIfNegative val="0"/>
          <c:dLbls>
            <c:spPr>
              <a:noFill/>
              <a:ln>
                <a:noFill/>
              </a:ln>
              <a:effectLst/>
            </c:spPr>
            <c:txPr>
              <a:bodyPr/>
              <a:lstStyle/>
              <a:p>
                <a:pPr>
                  <a:defRPr>
                    <a:latin typeface="Avenir Boo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Deaf or serious difficulty hearing</c:v>
                </c:pt>
                <c:pt idx="1">
                  <c:v>Blind or serious difficulty seeing even while wearing glasses </c:v>
                </c:pt>
                <c:pt idx="2">
                  <c:v>Serious difficulty concentrating, remembering, or making decisions because of a physical, mental, or emotional condition </c:v>
                </c:pt>
                <c:pt idx="3">
                  <c:v>Serious difficulty walking or climbing stairs</c:v>
                </c:pt>
                <c:pt idx="4">
                  <c:v>Difficulty dressing or bathing</c:v>
                </c:pt>
                <c:pt idx="5">
                  <c:v>Difficulty doing errands alone because of a physical, mental, or emotional condition</c:v>
                </c:pt>
              </c:strCache>
            </c:strRef>
          </c:cat>
          <c:val>
            <c:numRef>
              <c:f>Sheet1!$C$2:$C$7</c:f>
              <c:numCache>
                <c:formatCode>0%</c:formatCode>
                <c:ptCount val="6"/>
                <c:pt idx="0">
                  <c:v>0.04</c:v>
                </c:pt>
                <c:pt idx="1">
                  <c:v>0.03</c:v>
                </c:pt>
                <c:pt idx="2">
                  <c:v>0.05</c:v>
                </c:pt>
                <c:pt idx="3">
                  <c:v>0.08</c:v>
                </c:pt>
                <c:pt idx="4">
                  <c:v>0.03</c:v>
                </c:pt>
                <c:pt idx="5">
                  <c:v>0.06</c:v>
                </c:pt>
              </c:numCache>
            </c:numRef>
          </c:val>
          <c:extLst>
            <c:ext xmlns:c16="http://schemas.microsoft.com/office/drawing/2014/chart" uri="{C3380CC4-5D6E-409C-BE32-E72D297353CC}">
              <c16:uniqueId val="{00000001-91DA-E948-8649-35637B76E67B}"/>
            </c:ext>
          </c:extLst>
        </c:ser>
        <c:dLbls>
          <c:showLegendKey val="0"/>
          <c:showVal val="1"/>
          <c:showCatName val="0"/>
          <c:showSerName val="0"/>
          <c:showPercent val="0"/>
          <c:showBubbleSize val="0"/>
        </c:dLbls>
        <c:gapWidth val="150"/>
        <c:axId val="2135615928"/>
        <c:axId val="2135619048"/>
      </c:barChart>
      <c:catAx>
        <c:axId val="2135615928"/>
        <c:scaling>
          <c:orientation val="minMax"/>
        </c:scaling>
        <c:delete val="0"/>
        <c:axPos val="b"/>
        <c:numFmt formatCode="General" sourceLinked="0"/>
        <c:majorTickMark val="out"/>
        <c:minorTickMark val="none"/>
        <c:tickLblPos val="nextTo"/>
        <c:txPr>
          <a:bodyPr/>
          <a:lstStyle/>
          <a:p>
            <a:pPr>
              <a:defRPr sz="800">
                <a:latin typeface="Avenir Book"/>
                <a:cs typeface="Avenir Book"/>
              </a:defRPr>
            </a:pPr>
            <a:endParaRPr lang="en-US"/>
          </a:p>
        </c:txPr>
        <c:crossAx val="2135619048"/>
        <c:crosses val="autoZero"/>
        <c:auto val="1"/>
        <c:lblAlgn val="ctr"/>
        <c:lblOffset val="100"/>
        <c:noMultiLvlLbl val="0"/>
      </c:catAx>
      <c:valAx>
        <c:axId val="2135619048"/>
        <c:scaling>
          <c:orientation val="minMax"/>
        </c:scaling>
        <c:delete val="0"/>
        <c:axPos val="l"/>
        <c:majorGridlines/>
        <c:numFmt formatCode="0%" sourceLinked="1"/>
        <c:majorTickMark val="out"/>
        <c:minorTickMark val="none"/>
        <c:tickLblPos val="nextTo"/>
        <c:txPr>
          <a:bodyPr/>
          <a:lstStyle/>
          <a:p>
            <a:pPr>
              <a:defRPr>
                <a:latin typeface="Avenir Book"/>
                <a:cs typeface="Avenir Book"/>
              </a:defRPr>
            </a:pPr>
            <a:endParaRPr lang="en-US"/>
          </a:p>
        </c:txPr>
        <c:crossAx val="2135615928"/>
        <c:crosses val="autoZero"/>
        <c:crossBetween val="between"/>
      </c:valAx>
    </c:plotArea>
    <c:legend>
      <c:legendPos val="t"/>
      <c:layout>
        <c:manualLayout>
          <c:xMode val="edge"/>
          <c:yMode val="edge"/>
          <c:x val="0.20745541629067199"/>
          <c:y val="7.9616136484805394E-2"/>
          <c:w val="0.58508916741865702"/>
          <c:h val="7.6482762384398106E-2"/>
        </c:manualLayout>
      </c:layout>
      <c:overlay val="1"/>
      <c:txPr>
        <a:bodyPr/>
        <a:lstStyle/>
        <a:p>
          <a:pPr algn="l">
            <a:defRPr>
              <a:latin typeface="Avenir Book"/>
              <a:cs typeface="Avenir Book"/>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5F0A-7982-A541-AFBF-747C95D2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2862</Words>
  <Characters>17373</Characters>
  <Application>Microsoft Office Word</Application>
  <DocSecurity>4</DocSecurity>
  <Lines>263</Lines>
  <Paragraphs>62</Paragraphs>
  <ScaleCrop>false</ScaleCrop>
  <HeadingPairs>
    <vt:vector size="2" baseType="variant">
      <vt:variant>
        <vt:lpstr>Title</vt:lpstr>
      </vt:variant>
      <vt:variant>
        <vt:i4>1</vt:i4>
      </vt:variant>
    </vt:vector>
  </HeadingPairs>
  <TitlesOfParts>
    <vt:vector size="1" baseType="lpstr">
      <vt:lpstr>Health Disparities at the Intersection of Disability and Gender Identity: A Framework and Literature Review</vt:lpstr>
    </vt:vector>
  </TitlesOfParts>
  <Manager/>
  <Company/>
  <LinksUpToDate>false</LinksUpToDate>
  <CharactersWithSpaces>20173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 at the Intersection of Disability and Gender Identity: A Framework and Literature Review</dc:title>
  <dc:subject/>
  <dc:creator>Disability Rights Education &amp; Defense Fund (DREDF)</dc:creator>
  <cp:keywords/>
  <dc:description/>
  <cp:lastModifiedBy>Carly A. Myers</cp:lastModifiedBy>
  <cp:revision>4</cp:revision>
  <cp:lastPrinted>2018-07-09T16:52:00Z</cp:lastPrinted>
  <dcterms:created xsi:type="dcterms:W3CDTF">2018-07-09T16:52:00Z</dcterms:created>
  <dcterms:modified xsi:type="dcterms:W3CDTF">2018-07-09T16:56:00Z</dcterms:modified>
  <cp:category/>
</cp:coreProperties>
</file>