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7EE8" w14:textId="2A0436FB" w:rsidR="009A1BFD" w:rsidRPr="00FE7D2E" w:rsidRDefault="003970C9" w:rsidP="00FE7D2E">
      <w:pPr>
        <w:rPr>
          <w:rFonts w:cs="Arial"/>
          <w:sz w:val="24"/>
          <w:szCs w:val="24"/>
        </w:rPr>
      </w:pPr>
      <w:r w:rsidRPr="00FE7D2E">
        <w:rPr>
          <w:rFonts w:cs="Arial"/>
          <w:sz w:val="24"/>
          <w:szCs w:val="24"/>
        </w:rPr>
        <w:t>November 13</w:t>
      </w:r>
      <w:r w:rsidR="00A62B13" w:rsidRPr="00FE7D2E">
        <w:rPr>
          <w:rFonts w:cs="Arial"/>
          <w:sz w:val="24"/>
          <w:szCs w:val="24"/>
        </w:rPr>
        <w:t>, 202</w:t>
      </w:r>
      <w:r w:rsidRPr="00FE7D2E">
        <w:rPr>
          <w:rFonts w:cs="Arial"/>
          <w:sz w:val="24"/>
          <w:szCs w:val="24"/>
        </w:rPr>
        <w:t>3</w:t>
      </w:r>
      <w:r w:rsidR="00CB338E" w:rsidRPr="00FE7D2E">
        <w:rPr>
          <w:rFonts w:cs="Arial"/>
          <w:bCs/>
          <w:i/>
          <w:sz w:val="24"/>
          <w:szCs w:val="24"/>
        </w:rPr>
        <w:t xml:space="preserve"> </w:t>
      </w:r>
      <w:r w:rsidR="00CB338E" w:rsidRPr="00FE7D2E">
        <w:rPr>
          <w:rFonts w:cs="Arial"/>
          <w:bCs/>
          <w:i/>
          <w:sz w:val="24"/>
          <w:szCs w:val="24"/>
        </w:rPr>
        <w:tab/>
      </w:r>
      <w:r w:rsidR="00CB338E" w:rsidRPr="00FE7D2E">
        <w:rPr>
          <w:rFonts w:cs="Arial"/>
          <w:bCs/>
          <w:i/>
          <w:sz w:val="24"/>
          <w:szCs w:val="24"/>
        </w:rPr>
        <w:tab/>
      </w:r>
      <w:r w:rsidR="00CB338E" w:rsidRPr="00FE7D2E">
        <w:rPr>
          <w:rFonts w:cs="Arial"/>
          <w:bCs/>
          <w:i/>
          <w:sz w:val="24"/>
          <w:szCs w:val="24"/>
        </w:rPr>
        <w:tab/>
      </w:r>
      <w:r w:rsidR="00CB338E" w:rsidRPr="00FE7D2E">
        <w:rPr>
          <w:rFonts w:cs="Arial"/>
          <w:bCs/>
          <w:i/>
          <w:sz w:val="24"/>
          <w:szCs w:val="24"/>
        </w:rPr>
        <w:tab/>
        <w:t>via Online Portal (</w:t>
      </w:r>
      <w:r w:rsidRPr="00FE7D2E">
        <w:rPr>
          <w:rFonts w:cs="Arial"/>
          <w:bCs/>
          <w:i/>
          <w:sz w:val="24"/>
          <w:szCs w:val="24"/>
        </w:rPr>
        <w:t>www.regulations.gov)</w:t>
      </w:r>
    </w:p>
    <w:p w14:paraId="58373DC1" w14:textId="77777777" w:rsidR="009A1BFD" w:rsidRPr="00FE7D2E" w:rsidRDefault="009A1BFD" w:rsidP="00FE7D2E">
      <w:pPr>
        <w:rPr>
          <w:rFonts w:cs="Arial"/>
          <w:sz w:val="24"/>
          <w:szCs w:val="24"/>
        </w:rPr>
      </w:pPr>
    </w:p>
    <w:p w14:paraId="00B87198" w14:textId="77777777" w:rsidR="00A354C6" w:rsidRPr="00FE7D2E" w:rsidRDefault="00A354C6" w:rsidP="00FE7D2E">
      <w:pPr>
        <w:rPr>
          <w:rFonts w:cs="Arial"/>
          <w:color w:val="000000" w:themeColor="text1"/>
          <w:sz w:val="24"/>
          <w:szCs w:val="24"/>
        </w:rPr>
      </w:pPr>
      <w:r w:rsidRPr="00FE7D2E">
        <w:rPr>
          <w:rFonts w:cs="Arial"/>
          <w:color w:val="000000" w:themeColor="text1"/>
          <w:sz w:val="24"/>
          <w:szCs w:val="24"/>
        </w:rPr>
        <w:t>Melanie Fontes Rainer, Director</w:t>
      </w:r>
    </w:p>
    <w:p w14:paraId="3EEA9448" w14:textId="77777777" w:rsidR="00A354C6" w:rsidRPr="00FE7D2E" w:rsidRDefault="00A354C6" w:rsidP="00FE7D2E">
      <w:pPr>
        <w:rPr>
          <w:rFonts w:cs="Arial"/>
          <w:color w:val="000000" w:themeColor="text1"/>
          <w:sz w:val="24"/>
          <w:szCs w:val="24"/>
        </w:rPr>
      </w:pPr>
      <w:r w:rsidRPr="00FE7D2E">
        <w:rPr>
          <w:rFonts w:cs="Arial"/>
          <w:color w:val="000000" w:themeColor="text1"/>
          <w:sz w:val="24"/>
          <w:szCs w:val="24"/>
        </w:rPr>
        <w:t>Office of Civil Rights</w:t>
      </w:r>
    </w:p>
    <w:p w14:paraId="4847739C" w14:textId="77777777" w:rsidR="00A354C6" w:rsidRPr="00FE7D2E" w:rsidRDefault="00A354C6" w:rsidP="00FE7D2E">
      <w:pPr>
        <w:rPr>
          <w:rFonts w:cs="Arial"/>
          <w:color w:val="000000" w:themeColor="text1"/>
          <w:sz w:val="24"/>
          <w:szCs w:val="24"/>
        </w:rPr>
      </w:pPr>
      <w:r w:rsidRPr="00FE7D2E">
        <w:rPr>
          <w:rFonts w:cs="Arial"/>
          <w:color w:val="000000" w:themeColor="text1"/>
          <w:sz w:val="24"/>
          <w:szCs w:val="24"/>
        </w:rPr>
        <w:t xml:space="preserve">U.S. Department of Health and Human Services </w:t>
      </w:r>
    </w:p>
    <w:p w14:paraId="782B0AB9" w14:textId="77777777" w:rsidR="00A354C6" w:rsidRPr="00FE7D2E" w:rsidRDefault="00A354C6" w:rsidP="00FE7D2E">
      <w:pPr>
        <w:rPr>
          <w:rFonts w:cs="Arial"/>
          <w:color w:val="000000" w:themeColor="text1"/>
          <w:sz w:val="24"/>
          <w:szCs w:val="24"/>
        </w:rPr>
      </w:pPr>
      <w:r w:rsidRPr="00FE7D2E">
        <w:rPr>
          <w:rFonts w:cs="Arial"/>
          <w:color w:val="000000" w:themeColor="text1"/>
          <w:sz w:val="24"/>
          <w:szCs w:val="24"/>
        </w:rPr>
        <w:t>200 Independence Avenue, SW</w:t>
      </w:r>
    </w:p>
    <w:p w14:paraId="2647605B" w14:textId="77777777" w:rsidR="00A354C6" w:rsidRPr="00FE7D2E" w:rsidRDefault="00A354C6" w:rsidP="00FE7D2E">
      <w:pPr>
        <w:rPr>
          <w:rFonts w:cs="Arial"/>
          <w:color w:val="000000" w:themeColor="text1"/>
          <w:sz w:val="24"/>
          <w:szCs w:val="24"/>
        </w:rPr>
      </w:pPr>
      <w:r w:rsidRPr="00FE7D2E">
        <w:rPr>
          <w:rFonts w:cs="Arial"/>
          <w:color w:val="000000" w:themeColor="text1"/>
          <w:sz w:val="24"/>
          <w:szCs w:val="24"/>
        </w:rPr>
        <w:t>Washington, DC 20201</w:t>
      </w:r>
    </w:p>
    <w:p w14:paraId="1B48545C" w14:textId="77777777" w:rsidR="00A354C6" w:rsidRPr="00FE7D2E" w:rsidRDefault="00A354C6" w:rsidP="00FE7D2E">
      <w:pPr>
        <w:rPr>
          <w:rFonts w:cs="Arial"/>
          <w:color w:val="000000" w:themeColor="text1"/>
          <w:sz w:val="24"/>
          <w:szCs w:val="24"/>
        </w:rPr>
      </w:pPr>
    </w:p>
    <w:p w14:paraId="40D903F8" w14:textId="469477A1" w:rsidR="00A354C6" w:rsidRPr="00FE7D2E" w:rsidRDefault="00A354C6" w:rsidP="00FE7D2E">
      <w:pPr>
        <w:ind w:left="720" w:hanging="720"/>
        <w:rPr>
          <w:rFonts w:cs="Arial"/>
          <w:b/>
          <w:color w:val="000000" w:themeColor="text1"/>
          <w:sz w:val="24"/>
          <w:szCs w:val="24"/>
        </w:rPr>
      </w:pPr>
      <w:r w:rsidRPr="00FE7D2E">
        <w:rPr>
          <w:rFonts w:cs="Arial"/>
          <w:b/>
          <w:color w:val="000000" w:themeColor="text1"/>
          <w:sz w:val="24"/>
          <w:szCs w:val="24"/>
        </w:rPr>
        <w:t>Re:</w:t>
      </w:r>
      <w:r w:rsidRPr="00FE7D2E">
        <w:rPr>
          <w:rFonts w:cs="Arial"/>
          <w:b/>
          <w:color w:val="000000" w:themeColor="text1"/>
          <w:sz w:val="24"/>
          <w:szCs w:val="24"/>
        </w:rPr>
        <w:tab/>
      </w:r>
      <w:r w:rsidRPr="00FE7D2E">
        <w:rPr>
          <w:rFonts w:cs="Arial"/>
          <w:b/>
          <w:color w:val="000000" w:themeColor="text1"/>
          <w:sz w:val="24"/>
          <w:szCs w:val="24"/>
        </w:rPr>
        <w:t xml:space="preserve">Notice of Proposed Rulemaking on Discrimination on the Basis of Disability in Health and Human Service Programs or Activities. </w:t>
      </w:r>
      <w:bookmarkStart w:id="0" w:name="_Hlk150766614"/>
      <w:r w:rsidRPr="00FE7D2E">
        <w:rPr>
          <w:rFonts w:cs="Arial"/>
          <w:b/>
          <w:color w:val="000000" w:themeColor="text1"/>
          <w:sz w:val="24"/>
          <w:szCs w:val="24"/>
        </w:rPr>
        <w:t>Docket No: 2023-19149, RIN: 0945-AA15</w:t>
      </w:r>
      <w:bookmarkEnd w:id="0"/>
    </w:p>
    <w:p w14:paraId="607A23EC" w14:textId="77777777" w:rsidR="00A354C6" w:rsidRPr="00FE7D2E" w:rsidRDefault="00A354C6" w:rsidP="00FE7D2E">
      <w:pPr>
        <w:rPr>
          <w:rFonts w:cs="Arial"/>
          <w:color w:val="000000" w:themeColor="text1"/>
          <w:sz w:val="24"/>
          <w:szCs w:val="24"/>
        </w:rPr>
      </w:pPr>
    </w:p>
    <w:p w14:paraId="48C104FA" w14:textId="77777777" w:rsidR="00A354C6" w:rsidRPr="00FE7D2E" w:rsidRDefault="00A354C6" w:rsidP="00FE7D2E">
      <w:pPr>
        <w:rPr>
          <w:rFonts w:cs="Arial"/>
          <w:color w:val="000000" w:themeColor="text1"/>
          <w:sz w:val="24"/>
          <w:szCs w:val="24"/>
        </w:rPr>
      </w:pPr>
      <w:r w:rsidRPr="00FE7D2E">
        <w:rPr>
          <w:rFonts w:cs="Arial"/>
          <w:color w:val="000000" w:themeColor="text1"/>
          <w:sz w:val="24"/>
          <w:szCs w:val="24"/>
        </w:rPr>
        <w:t>Dear Director Fontes Rainer:</w:t>
      </w:r>
    </w:p>
    <w:p w14:paraId="2C6BC944" w14:textId="77777777" w:rsidR="003C0FA7" w:rsidRPr="00FE7D2E" w:rsidRDefault="003C0FA7" w:rsidP="00FE7D2E">
      <w:pPr>
        <w:rPr>
          <w:rFonts w:cs="Arial"/>
          <w:sz w:val="24"/>
          <w:szCs w:val="24"/>
        </w:rPr>
      </w:pPr>
    </w:p>
    <w:p w14:paraId="22A1334F" w14:textId="456CAE57" w:rsidR="002D0F4A" w:rsidRPr="00FE7D2E" w:rsidRDefault="00A90201" w:rsidP="00FE7D2E">
      <w:pPr>
        <w:pStyle w:val="Default"/>
        <w:widowControl w:val="0"/>
        <w:spacing w:line="276" w:lineRule="auto"/>
        <w:rPr>
          <w:rFonts w:ascii="Arial" w:eastAsia="Arial" w:hAnsi="Arial" w:cs="Arial"/>
        </w:rPr>
      </w:pPr>
      <w:r w:rsidRPr="00FE7D2E">
        <w:rPr>
          <w:rFonts w:ascii="Arial" w:eastAsia="Arial" w:hAnsi="Arial" w:cs="Arial"/>
        </w:rPr>
        <w:t xml:space="preserve">Disability Rights Education and Defense Fund (DREDF) </w:t>
      </w:r>
      <w:r w:rsidR="001C6D5B" w:rsidRPr="00FE7D2E">
        <w:rPr>
          <w:rFonts w:ascii="Arial" w:eastAsia="Arial" w:hAnsi="Arial" w:cs="Arial"/>
        </w:rPr>
        <w:t xml:space="preserve">appreciates the opportunity to comment on </w:t>
      </w:r>
      <w:r w:rsidR="00E832DB" w:rsidRPr="00FE7D2E">
        <w:rPr>
          <w:rFonts w:ascii="Arial" w:eastAsia="Arial" w:hAnsi="Arial" w:cs="Arial"/>
        </w:rPr>
        <w:t xml:space="preserve">the proposed rule </w:t>
      </w:r>
      <w:r w:rsidR="009A472C" w:rsidRPr="00FE7D2E">
        <w:rPr>
          <w:rFonts w:ascii="Arial" w:eastAsia="Arial" w:hAnsi="Arial" w:cs="Arial"/>
        </w:rPr>
        <w:t xml:space="preserve">under Section 504 of the Rehabilitation Act </w:t>
      </w:r>
      <w:r w:rsidR="00B30CBD" w:rsidRPr="00FE7D2E">
        <w:rPr>
          <w:rFonts w:ascii="Arial" w:eastAsia="Arial" w:hAnsi="Arial" w:cs="Arial"/>
        </w:rPr>
        <w:t xml:space="preserve">of 1973 </w:t>
      </w:r>
      <w:r w:rsidR="009A472C" w:rsidRPr="00FE7D2E">
        <w:rPr>
          <w:rFonts w:ascii="Arial" w:eastAsia="Arial" w:hAnsi="Arial" w:cs="Arial"/>
        </w:rPr>
        <w:t>(Section 504</w:t>
      </w:r>
      <w:r w:rsidR="002D391F" w:rsidRPr="00FE7D2E">
        <w:rPr>
          <w:rFonts w:ascii="Arial" w:eastAsia="Arial" w:hAnsi="Arial" w:cs="Arial"/>
        </w:rPr>
        <w:t>)</w:t>
      </w:r>
      <w:r w:rsidR="006867CB" w:rsidRPr="00FE7D2E">
        <w:rPr>
          <w:rFonts w:ascii="Arial" w:eastAsia="Arial" w:hAnsi="Arial" w:cs="Arial"/>
        </w:rPr>
        <w:t xml:space="preserve">, </w:t>
      </w:r>
      <w:r w:rsidR="002D391F" w:rsidRPr="00FE7D2E">
        <w:rPr>
          <w:rFonts w:ascii="Arial" w:eastAsia="Arial" w:hAnsi="Arial" w:cs="Arial"/>
        </w:rPr>
        <w:t>Nondiscrimination on the Basis of Disability in Health and Human Service Programs or Activities</w:t>
      </w:r>
      <w:r w:rsidR="001D3404" w:rsidRPr="00FE7D2E">
        <w:rPr>
          <w:rFonts w:ascii="Arial" w:eastAsia="Arial" w:hAnsi="Arial" w:cs="Arial"/>
        </w:rPr>
        <w:t xml:space="preserve"> (proposed rule)</w:t>
      </w:r>
      <w:r w:rsidR="006867CB" w:rsidRPr="00FE7D2E">
        <w:rPr>
          <w:rFonts w:ascii="Arial" w:eastAsia="Arial" w:hAnsi="Arial" w:cs="Arial"/>
        </w:rPr>
        <w:t xml:space="preserve">, issued by the </w:t>
      </w:r>
      <w:r w:rsidR="00620EA6" w:rsidRPr="00FE7D2E">
        <w:rPr>
          <w:rFonts w:ascii="Arial" w:eastAsia="Arial" w:hAnsi="Arial" w:cs="Arial"/>
        </w:rPr>
        <w:t xml:space="preserve">Office for Civil Rights (OCR) at the </w:t>
      </w:r>
      <w:r w:rsidR="00E832DB" w:rsidRPr="00FE7D2E">
        <w:rPr>
          <w:rFonts w:ascii="Arial" w:eastAsia="Arial" w:hAnsi="Arial" w:cs="Arial"/>
        </w:rPr>
        <w:t>Department of Health and Human Service</w:t>
      </w:r>
      <w:r w:rsidR="00620EA6" w:rsidRPr="00FE7D2E">
        <w:rPr>
          <w:rFonts w:ascii="Arial" w:eastAsia="Arial" w:hAnsi="Arial" w:cs="Arial"/>
        </w:rPr>
        <w:t>s</w:t>
      </w:r>
      <w:r w:rsidR="00E832DB" w:rsidRPr="00FE7D2E">
        <w:rPr>
          <w:rFonts w:ascii="Arial" w:eastAsia="Arial" w:hAnsi="Arial" w:cs="Arial"/>
        </w:rPr>
        <w:t xml:space="preserve"> (HHS)</w:t>
      </w:r>
      <w:r w:rsidR="007E71BF" w:rsidRPr="00FE7D2E">
        <w:rPr>
          <w:rFonts w:ascii="Arial" w:eastAsia="Arial" w:hAnsi="Arial" w:cs="Arial"/>
        </w:rPr>
        <w:t xml:space="preserve">. </w:t>
      </w:r>
      <w:r w:rsidR="00263EBB" w:rsidRPr="00FE7D2E">
        <w:rPr>
          <w:rFonts w:ascii="Arial" w:eastAsia="Arial" w:hAnsi="Arial" w:cs="Arial"/>
        </w:rPr>
        <w:t>We recognize how the proposed rul</w:t>
      </w:r>
      <w:r w:rsidR="006D3266" w:rsidRPr="00FE7D2E">
        <w:rPr>
          <w:rFonts w:ascii="Arial" w:eastAsia="Arial" w:hAnsi="Arial" w:cs="Arial"/>
        </w:rPr>
        <w:t xml:space="preserve">e, in both its substance and the </w:t>
      </w:r>
      <w:r w:rsidR="00515EBC" w:rsidRPr="00FE7D2E">
        <w:rPr>
          <w:rFonts w:ascii="Arial" w:eastAsia="Arial" w:hAnsi="Arial" w:cs="Arial"/>
        </w:rPr>
        <w:t xml:space="preserve">process of seeing </w:t>
      </w:r>
      <w:r w:rsidR="006D3266" w:rsidRPr="00FE7D2E">
        <w:rPr>
          <w:rFonts w:ascii="Arial" w:eastAsia="Arial" w:hAnsi="Arial" w:cs="Arial"/>
        </w:rPr>
        <w:t xml:space="preserve">input from members of the disability community, builds upon the </w:t>
      </w:r>
      <w:r w:rsidR="00DF2080" w:rsidRPr="00FE7D2E">
        <w:rPr>
          <w:rFonts w:ascii="Arial" w:eastAsia="Arial" w:hAnsi="Arial" w:cs="Arial"/>
        </w:rPr>
        <w:t xml:space="preserve">original regulation which was achieved </w:t>
      </w:r>
      <w:r w:rsidR="00467A5C" w:rsidRPr="00FE7D2E">
        <w:rPr>
          <w:rFonts w:ascii="Arial" w:eastAsia="Arial" w:hAnsi="Arial" w:cs="Arial"/>
        </w:rPr>
        <w:t xml:space="preserve">because of direct action </w:t>
      </w:r>
      <w:r w:rsidR="00D07C4E" w:rsidRPr="00FE7D2E">
        <w:rPr>
          <w:rFonts w:ascii="Arial" w:eastAsia="Arial" w:hAnsi="Arial" w:cs="Arial"/>
        </w:rPr>
        <w:t xml:space="preserve">from people with disabilities and </w:t>
      </w:r>
      <w:r w:rsidR="003B25DF" w:rsidRPr="00FE7D2E">
        <w:rPr>
          <w:rFonts w:ascii="Arial" w:eastAsia="Arial" w:hAnsi="Arial" w:cs="Arial"/>
        </w:rPr>
        <w:t xml:space="preserve">developed through </w:t>
      </w:r>
      <w:r w:rsidR="00B71274" w:rsidRPr="00FE7D2E">
        <w:rPr>
          <w:rFonts w:ascii="Arial" w:eastAsia="Arial" w:hAnsi="Arial" w:cs="Arial"/>
        </w:rPr>
        <w:t xml:space="preserve">respectful and cooperative </w:t>
      </w:r>
      <w:r w:rsidR="00467A5C" w:rsidRPr="00FE7D2E">
        <w:rPr>
          <w:rFonts w:ascii="Arial" w:eastAsia="Arial" w:hAnsi="Arial" w:cs="Arial"/>
        </w:rPr>
        <w:t>stakeholder relationship</w:t>
      </w:r>
      <w:r w:rsidR="003B25DF" w:rsidRPr="00FE7D2E">
        <w:rPr>
          <w:rFonts w:ascii="Arial" w:eastAsia="Arial" w:hAnsi="Arial" w:cs="Arial"/>
        </w:rPr>
        <w:t>s</w:t>
      </w:r>
      <w:r w:rsidR="00467A5C" w:rsidRPr="00FE7D2E">
        <w:rPr>
          <w:rFonts w:ascii="Arial" w:eastAsia="Arial" w:hAnsi="Arial" w:cs="Arial"/>
        </w:rPr>
        <w:t xml:space="preserve"> established between </w:t>
      </w:r>
      <w:r w:rsidR="00B71274" w:rsidRPr="00FE7D2E">
        <w:rPr>
          <w:rFonts w:ascii="Arial" w:eastAsia="Arial" w:hAnsi="Arial" w:cs="Arial"/>
        </w:rPr>
        <w:t>representatives from HHS and the disability community.</w:t>
      </w:r>
    </w:p>
    <w:p w14:paraId="5B385469" w14:textId="77777777" w:rsidR="002D0F4A" w:rsidRPr="00FE7D2E" w:rsidRDefault="002D0F4A" w:rsidP="00FE7D2E">
      <w:pPr>
        <w:pStyle w:val="Default"/>
        <w:widowControl w:val="0"/>
        <w:spacing w:line="276" w:lineRule="auto"/>
        <w:rPr>
          <w:rFonts w:ascii="Arial" w:eastAsia="Arial" w:hAnsi="Arial" w:cs="Arial"/>
        </w:rPr>
      </w:pPr>
    </w:p>
    <w:p w14:paraId="63DCE08D" w14:textId="41DBC5B6" w:rsidR="002D0F4A" w:rsidRPr="00FE7D2E" w:rsidRDefault="002D0F4A" w:rsidP="00FE7D2E">
      <w:pPr>
        <w:pStyle w:val="Default"/>
        <w:widowControl w:val="0"/>
        <w:spacing w:line="276" w:lineRule="auto"/>
        <w:rPr>
          <w:rFonts w:ascii="Arial" w:hAnsi="Arial" w:cs="Arial"/>
          <w:color w:val="auto"/>
        </w:rPr>
      </w:pPr>
      <w:r w:rsidRPr="00FE7D2E">
        <w:rPr>
          <w:rFonts w:ascii="Arial" w:eastAsia="Arial" w:hAnsi="Arial" w:cs="Arial"/>
        </w:rPr>
        <w:t>DREDF is a national cross-disability law and policy center that protects and advances the civil and human rights of people with disabilities through legal advocacy, training, education, and development of legislation and public policy. In the more than 40 years that have passed since our founding, we have persistently fought for the right of people with disabilities to be fully integrated within all aspects of community life. DREDF's work is based on the knowledge that people with disabilities of varying ages, racial and ethnic backgrounds, genders,</w:t>
      </w:r>
      <w:r w:rsidR="003E763F" w:rsidRPr="00FE7D2E">
        <w:rPr>
          <w:rFonts w:ascii="Arial" w:eastAsia="Arial" w:hAnsi="Arial" w:cs="Arial"/>
        </w:rPr>
        <w:t xml:space="preserve"> </w:t>
      </w:r>
      <w:r w:rsidRPr="00FE7D2E">
        <w:rPr>
          <w:rFonts w:ascii="Arial" w:eastAsia="Arial" w:hAnsi="Arial" w:cs="Arial"/>
        </w:rPr>
        <w:t>and sexual orientations are fully capable of achieving self-sufficiency and contributing to their communities with access to needed services and supports and the reasonable accommodations and modifications enshrined in U.S. law.</w:t>
      </w:r>
      <w:r w:rsidRPr="00FE7D2E">
        <w:rPr>
          <w:rFonts w:ascii="Arial" w:hAnsi="Arial" w:cs="Arial"/>
          <w:color w:val="auto"/>
        </w:rPr>
        <w:t xml:space="preserve"> </w:t>
      </w:r>
    </w:p>
    <w:p w14:paraId="3E6C5581" w14:textId="77777777" w:rsidR="00D7226E" w:rsidRPr="00FE7D2E" w:rsidRDefault="00D7226E" w:rsidP="00FE7D2E">
      <w:pPr>
        <w:rPr>
          <w:rFonts w:cs="Arial"/>
          <w:sz w:val="24"/>
          <w:szCs w:val="24"/>
        </w:rPr>
      </w:pPr>
    </w:p>
    <w:p w14:paraId="49C115C5" w14:textId="1004BC83" w:rsidR="006D6FCE" w:rsidRPr="00FE7D2E" w:rsidRDefault="008A41D9" w:rsidP="00FE7D2E">
      <w:pPr>
        <w:rPr>
          <w:rFonts w:cs="Arial"/>
          <w:sz w:val="24"/>
          <w:szCs w:val="24"/>
        </w:rPr>
      </w:pPr>
      <w:r w:rsidRPr="00FE7D2E">
        <w:rPr>
          <w:rFonts w:cs="Arial"/>
          <w:sz w:val="24"/>
          <w:szCs w:val="24"/>
        </w:rPr>
        <w:t xml:space="preserve">DREDF supports </w:t>
      </w:r>
      <w:r w:rsidR="002520C3" w:rsidRPr="00FE7D2E">
        <w:rPr>
          <w:rFonts w:cs="Arial"/>
          <w:sz w:val="24"/>
          <w:szCs w:val="24"/>
        </w:rPr>
        <w:t xml:space="preserve">OCR’s updates and clarifications </w:t>
      </w:r>
      <w:r w:rsidR="00390C2E" w:rsidRPr="00FE7D2E">
        <w:rPr>
          <w:rFonts w:cs="Arial"/>
          <w:sz w:val="24"/>
          <w:szCs w:val="24"/>
        </w:rPr>
        <w:t xml:space="preserve">of </w:t>
      </w:r>
      <w:r w:rsidR="009445AF" w:rsidRPr="00FE7D2E">
        <w:rPr>
          <w:rFonts w:cs="Arial"/>
          <w:sz w:val="24"/>
          <w:szCs w:val="24"/>
        </w:rPr>
        <w:t xml:space="preserve">disability </w:t>
      </w:r>
      <w:r w:rsidR="00390C2E" w:rsidRPr="00FE7D2E">
        <w:rPr>
          <w:rFonts w:cs="Arial"/>
          <w:sz w:val="24"/>
          <w:szCs w:val="24"/>
        </w:rPr>
        <w:t xml:space="preserve">discrimination protection </w:t>
      </w:r>
      <w:r w:rsidR="00760B48" w:rsidRPr="00FE7D2E">
        <w:rPr>
          <w:rFonts w:cs="Arial"/>
          <w:sz w:val="24"/>
          <w:szCs w:val="24"/>
        </w:rPr>
        <w:t>in the proposed rule</w:t>
      </w:r>
      <w:r w:rsidR="00390C2E" w:rsidRPr="00FE7D2E">
        <w:rPr>
          <w:rFonts w:cs="Arial"/>
          <w:sz w:val="24"/>
          <w:szCs w:val="24"/>
        </w:rPr>
        <w:t xml:space="preserve">. </w:t>
      </w:r>
      <w:r w:rsidR="00E2260C" w:rsidRPr="00FE7D2E">
        <w:rPr>
          <w:rFonts w:cs="Arial"/>
          <w:sz w:val="24"/>
          <w:szCs w:val="24"/>
        </w:rPr>
        <w:t>We strongly agree that the recent COVID-19 pandemic exposed long-standing</w:t>
      </w:r>
      <w:r w:rsidR="00C33E06" w:rsidRPr="00FE7D2E">
        <w:rPr>
          <w:rFonts w:cs="Arial"/>
          <w:sz w:val="24"/>
          <w:szCs w:val="24"/>
        </w:rPr>
        <w:t xml:space="preserve"> </w:t>
      </w:r>
      <w:r w:rsidR="00C33E06" w:rsidRPr="00FE7D2E">
        <w:rPr>
          <w:rFonts w:cs="Arial"/>
          <w:sz w:val="24"/>
          <w:szCs w:val="24"/>
        </w:rPr>
        <w:lastRenderedPageBreak/>
        <w:t xml:space="preserve">barriers to </w:t>
      </w:r>
      <w:r w:rsidR="005F6868" w:rsidRPr="00FE7D2E">
        <w:rPr>
          <w:rFonts w:cs="Arial"/>
          <w:sz w:val="24"/>
          <w:szCs w:val="24"/>
        </w:rPr>
        <w:t xml:space="preserve">equally effective healthcare </w:t>
      </w:r>
      <w:r w:rsidR="009445AF" w:rsidRPr="00FE7D2E">
        <w:rPr>
          <w:rFonts w:cs="Arial"/>
          <w:sz w:val="24"/>
          <w:szCs w:val="24"/>
        </w:rPr>
        <w:t xml:space="preserve">for disabled people </w:t>
      </w:r>
      <w:r w:rsidR="005F6868" w:rsidRPr="00FE7D2E">
        <w:rPr>
          <w:rFonts w:cs="Arial"/>
          <w:sz w:val="24"/>
          <w:szCs w:val="24"/>
        </w:rPr>
        <w:t>and embedded ableism in t</w:t>
      </w:r>
      <w:r w:rsidR="00C33E06" w:rsidRPr="00FE7D2E">
        <w:rPr>
          <w:rFonts w:cs="Arial"/>
          <w:sz w:val="24"/>
          <w:szCs w:val="24"/>
        </w:rPr>
        <w:t>he healthcare profession</w:t>
      </w:r>
      <w:r w:rsidR="005F6868" w:rsidRPr="00FE7D2E">
        <w:rPr>
          <w:rFonts w:cs="Arial"/>
          <w:sz w:val="24"/>
          <w:szCs w:val="24"/>
        </w:rPr>
        <w:t xml:space="preserve">. </w:t>
      </w:r>
      <w:r w:rsidR="00E731A1" w:rsidRPr="00FE7D2E">
        <w:rPr>
          <w:rFonts w:cs="Arial"/>
          <w:sz w:val="24"/>
          <w:szCs w:val="24"/>
        </w:rPr>
        <w:t xml:space="preserve">We contributed to </w:t>
      </w:r>
      <w:r w:rsidR="00EA0657" w:rsidRPr="00FE7D2E">
        <w:rPr>
          <w:rFonts w:cs="Arial"/>
          <w:sz w:val="24"/>
          <w:szCs w:val="24"/>
        </w:rPr>
        <w:t xml:space="preserve">and endorse </w:t>
      </w:r>
      <w:r w:rsidR="00E731A1" w:rsidRPr="00FE7D2E">
        <w:rPr>
          <w:rFonts w:cs="Arial"/>
          <w:sz w:val="24"/>
          <w:szCs w:val="24"/>
        </w:rPr>
        <w:t xml:space="preserve">detailed comments on the proposed rule </w:t>
      </w:r>
      <w:r w:rsidR="008B1BAE" w:rsidRPr="00FE7D2E">
        <w:rPr>
          <w:rFonts w:cs="Arial"/>
          <w:sz w:val="24"/>
          <w:szCs w:val="24"/>
        </w:rPr>
        <w:t xml:space="preserve"> </w:t>
      </w:r>
      <w:r w:rsidR="00E731A1" w:rsidRPr="00FE7D2E">
        <w:rPr>
          <w:rFonts w:cs="Arial"/>
          <w:sz w:val="24"/>
          <w:szCs w:val="24"/>
        </w:rPr>
        <w:t xml:space="preserve">from the Consortium </w:t>
      </w:r>
      <w:r w:rsidR="00934487" w:rsidRPr="00FE7D2E">
        <w:rPr>
          <w:rFonts w:cs="Arial"/>
          <w:sz w:val="24"/>
          <w:szCs w:val="24"/>
        </w:rPr>
        <w:t xml:space="preserve">for Constituents with Disabilities </w:t>
      </w:r>
      <w:r w:rsidR="00DE7F07" w:rsidRPr="00FE7D2E">
        <w:rPr>
          <w:rFonts w:cs="Arial"/>
          <w:sz w:val="24"/>
          <w:szCs w:val="24"/>
        </w:rPr>
        <w:t>(CCD)</w:t>
      </w:r>
      <w:r w:rsidR="0052094E" w:rsidRPr="00FE7D2E">
        <w:rPr>
          <w:rFonts w:cs="Arial"/>
          <w:sz w:val="24"/>
          <w:szCs w:val="24"/>
        </w:rPr>
        <w:t>.</w:t>
      </w:r>
      <w:r w:rsidR="00EA0657" w:rsidRPr="00FE7D2E">
        <w:rPr>
          <w:rFonts w:cs="Arial"/>
          <w:sz w:val="24"/>
          <w:szCs w:val="24"/>
        </w:rPr>
        <w:t xml:space="preserve"> We also endorse the </w:t>
      </w:r>
      <w:r w:rsidR="00043F8F" w:rsidRPr="00FE7D2E">
        <w:rPr>
          <w:rFonts w:cs="Arial"/>
          <w:sz w:val="24"/>
          <w:szCs w:val="24"/>
        </w:rPr>
        <w:t xml:space="preserve">comments of </w:t>
      </w:r>
      <w:r w:rsidR="0043128D" w:rsidRPr="00FE7D2E">
        <w:rPr>
          <w:rFonts w:cs="Arial"/>
          <w:sz w:val="24"/>
          <w:szCs w:val="24"/>
        </w:rPr>
        <w:t>the Partnership to Improve Patient Care (PIPC)</w:t>
      </w:r>
      <w:r w:rsidR="00053ED4" w:rsidRPr="00FE7D2E">
        <w:rPr>
          <w:rFonts w:cs="Arial"/>
          <w:sz w:val="24"/>
          <w:szCs w:val="24"/>
        </w:rPr>
        <w:t xml:space="preserve"> in its detailed discussion of Value</w:t>
      </w:r>
      <w:r w:rsidR="00751FD4" w:rsidRPr="00FE7D2E">
        <w:rPr>
          <w:rFonts w:cs="Arial"/>
          <w:sz w:val="24"/>
          <w:szCs w:val="24"/>
        </w:rPr>
        <w:t xml:space="preserve"> Assessment </w:t>
      </w:r>
      <w:r w:rsidR="00A17C95" w:rsidRPr="00FE7D2E">
        <w:rPr>
          <w:rFonts w:cs="Arial"/>
          <w:sz w:val="24"/>
          <w:szCs w:val="24"/>
        </w:rPr>
        <w:t>(</w:t>
      </w:r>
      <w:r w:rsidR="00A17C95" w:rsidRPr="00FE7D2E">
        <w:rPr>
          <w:rFonts w:cs="Arial"/>
          <w:sz w:val="24"/>
          <w:szCs w:val="24"/>
        </w:rPr>
        <w:t>§ 85.57</w:t>
      </w:r>
      <w:r w:rsidR="00A17C95" w:rsidRPr="00FE7D2E">
        <w:rPr>
          <w:rFonts w:cs="Arial"/>
          <w:sz w:val="24"/>
          <w:szCs w:val="24"/>
        </w:rPr>
        <w:t>)</w:t>
      </w:r>
      <w:r w:rsidR="00527B9E" w:rsidRPr="00FE7D2E">
        <w:rPr>
          <w:rFonts w:cs="Arial"/>
          <w:sz w:val="24"/>
          <w:szCs w:val="24"/>
        </w:rPr>
        <w:t xml:space="preserve"> that </w:t>
      </w:r>
      <w:r w:rsidR="00B13F1A" w:rsidRPr="00FE7D2E">
        <w:rPr>
          <w:rFonts w:cs="Arial"/>
          <w:sz w:val="24"/>
          <w:szCs w:val="24"/>
        </w:rPr>
        <w:t xml:space="preserve">inherently </w:t>
      </w:r>
      <w:r w:rsidR="00527B9E" w:rsidRPr="00FE7D2E">
        <w:rPr>
          <w:rFonts w:cs="Arial"/>
          <w:sz w:val="24"/>
          <w:szCs w:val="24"/>
        </w:rPr>
        <w:t xml:space="preserve">downgrade the </w:t>
      </w:r>
      <w:r w:rsidR="00B13F1A" w:rsidRPr="00FE7D2E">
        <w:rPr>
          <w:rFonts w:cs="Arial"/>
          <w:sz w:val="24"/>
          <w:szCs w:val="24"/>
        </w:rPr>
        <w:t xml:space="preserve">length, quality, and </w:t>
      </w:r>
      <w:r w:rsidR="00527B9E" w:rsidRPr="00FE7D2E">
        <w:rPr>
          <w:rFonts w:cs="Arial"/>
          <w:sz w:val="24"/>
          <w:szCs w:val="24"/>
        </w:rPr>
        <w:t>worth of disabled lives</w:t>
      </w:r>
      <w:r w:rsidR="00B13F1A" w:rsidRPr="00FE7D2E">
        <w:rPr>
          <w:rFonts w:cs="Arial"/>
          <w:sz w:val="24"/>
          <w:szCs w:val="24"/>
        </w:rPr>
        <w:t>.</w:t>
      </w:r>
      <w:r w:rsidR="0052094E" w:rsidRPr="00FE7D2E">
        <w:rPr>
          <w:rFonts w:cs="Arial"/>
          <w:sz w:val="24"/>
          <w:szCs w:val="24"/>
        </w:rPr>
        <w:t xml:space="preserve"> </w:t>
      </w:r>
      <w:r w:rsidR="00261DA0" w:rsidRPr="00FE7D2E">
        <w:rPr>
          <w:rFonts w:cs="Arial"/>
          <w:sz w:val="24"/>
          <w:szCs w:val="24"/>
        </w:rPr>
        <w:t>In our own comment, w</w:t>
      </w:r>
      <w:r w:rsidR="000C56B5" w:rsidRPr="00FE7D2E">
        <w:rPr>
          <w:rFonts w:cs="Arial"/>
          <w:sz w:val="24"/>
          <w:szCs w:val="24"/>
        </w:rPr>
        <w:t xml:space="preserve">e are </w:t>
      </w:r>
      <w:r w:rsidR="005B2909" w:rsidRPr="00FE7D2E">
        <w:rPr>
          <w:rFonts w:cs="Arial"/>
          <w:sz w:val="24"/>
          <w:szCs w:val="24"/>
        </w:rPr>
        <w:t xml:space="preserve">raising </w:t>
      </w:r>
      <w:r w:rsidR="005C3912" w:rsidRPr="00FE7D2E">
        <w:rPr>
          <w:rFonts w:cs="Arial"/>
          <w:sz w:val="24"/>
          <w:szCs w:val="24"/>
        </w:rPr>
        <w:t xml:space="preserve">the </w:t>
      </w:r>
      <w:r w:rsidR="000C56B5" w:rsidRPr="00FE7D2E">
        <w:rPr>
          <w:rFonts w:cs="Arial"/>
          <w:sz w:val="24"/>
          <w:szCs w:val="24"/>
        </w:rPr>
        <w:t>additional points below</w:t>
      </w:r>
      <w:r w:rsidR="00261DA0" w:rsidRPr="00FE7D2E">
        <w:rPr>
          <w:rFonts w:cs="Arial"/>
          <w:sz w:val="24"/>
          <w:szCs w:val="24"/>
        </w:rPr>
        <w:t xml:space="preserve"> to </w:t>
      </w:r>
      <w:r w:rsidR="000C56B5" w:rsidRPr="00FE7D2E">
        <w:rPr>
          <w:rFonts w:cs="Arial"/>
          <w:sz w:val="24"/>
          <w:szCs w:val="24"/>
        </w:rPr>
        <w:t xml:space="preserve">provide OCR with </w:t>
      </w:r>
      <w:r w:rsidR="004679F0" w:rsidRPr="00FE7D2E">
        <w:rPr>
          <w:rFonts w:cs="Arial"/>
          <w:sz w:val="24"/>
          <w:szCs w:val="24"/>
        </w:rPr>
        <w:t xml:space="preserve">additional information, resources, and </w:t>
      </w:r>
      <w:r w:rsidR="005E1733" w:rsidRPr="00FE7D2E">
        <w:rPr>
          <w:rFonts w:cs="Arial"/>
          <w:sz w:val="24"/>
          <w:szCs w:val="24"/>
        </w:rPr>
        <w:t xml:space="preserve">recommendations </w:t>
      </w:r>
      <w:r w:rsidR="00DC1964" w:rsidRPr="00FE7D2E">
        <w:rPr>
          <w:rFonts w:cs="Arial"/>
          <w:sz w:val="24"/>
          <w:szCs w:val="24"/>
        </w:rPr>
        <w:t xml:space="preserve">on specific </w:t>
      </w:r>
      <w:r w:rsidR="00F4119E" w:rsidRPr="00FE7D2E">
        <w:rPr>
          <w:rFonts w:cs="Arial"/>
          <w:sz w:val="24"/>
          <w:szCs w:val="24"/>
        </w:rPr>
        <w:t>topic</w:t>
      </w:r>
      <w:r w:rsidR="0016165D" w:rsidRPr="00FE7D2E">
        <w:rPr>
          <w:rFonts w:cs="Arial"/>
          <w:sz w:val="24"/>
          <w:szCs w:val="24"/>
        </w:rPr>
        <w:t>s</w:t>
      </w:r>
      <w:r w:rsidR="00F4119E" w:rsidRPr="00FE7D2E">
        <w:rPr>
          <w:rFonts w:cs="Arial"/>
          <w:sz w:val="24"/>
          <w:szCs w:val="24"/>
        </w:rPr>
        <w:t xml:space="preserve"> raised in the proposed rule so that they can be considered as the rule </w:t>
      </w:r>
      <w:r w:rsidR="00221697" w:rsidRPr="00FE7D2E">
        <w:rPr>
          <w:rFonts w:cs="Arial"/>
          <w:sz w:val="24"/>
          <w:szCs w:val="24"/>
        </w:rPr>
        <w:t xml:space="preserve">is finalized and </w:t>
      </w:r>
      <w:r w:rsidR="00655304" w:rsidRPr="00FE7D2E">
        <w:rPr>
          <w:rFonts w:cs="Arial"/>
          <w:sz w:val="24"/>
          <w:szCs w:val="24"/>
        </w:rPr>
        <w:t>timely passed into law.</w:t>
      </w:r>
      <w:r w:rsidR="005D5FDD" w:rsidRPr="00FE7D2E">
        <w:rPr>
          <w:rFonts w:cs="Arial"/>
          <w:sz w:val="24"/>
          <w:szCs w:val="24"/>
        </w:rPr>
        <w:t xml:space="preserve"> </w:t>
      </w:r>
      <w:r w:rsidR="00221697" w:rsidRPr="00FE7D2E">
        <w:rPr>
          <w:rFonts w:cs="Arial"/>
          <w:sz w:val="24"/>
          <w:szCs w:val="24"/>
        </w:rPr>
        <w:t xml:space="preserve">The topics are </w:t>
      </w:r>
      <w:r w:rsidR="0018514D" w:rsidRPr="00FE7D2E">
        <w:rPr>
          <w:rFonts w:cs="Arial"/>
          <w:sz w:val="24"/>
          <w:szCs w:val="24"/>
        </w:rPr>
        <w:t>covered b</w:t>
      </w:r>
      <w:r w:rsidR="00221697" w:rsidRPr="00FE7D2E">
        <w:rPr>
          <w:rFonts w:cs="Arial"/>
          <w:sz w:val="24"/>
          <w:szCs w:val="24"/>
        </w:rPr>
        <w:t>elow in the</w:t>
      </w:r>
      <w:r w:rsidR="0018514D" w:rsidRPr="00FE7D2E">
        <w:rPr>
          <w:rFonts w:cs="Arial"/>
          <w:sz w:val="24"/>
          <w:szCs w:val="24"/>
        </w:rPr>
        <w:t>ir</w:t>
      </w:r>
      <w:r w:rsidR="00221697" w:rsidRPr="00FE7D2E">
        <w:rPr>
          <w:rFonts w:cs="Arial"/>
          <w:sz w:val="24"/>
          <w:szCs w:val="24"/>
        </w:rPr>
        <w:t xml:space="preserve"> order in the proposed rule.</w:t>
      </w:r>
    </w:p>
    <w:p w14:paraId="1A563170" w14:textId="77777777" w:rsidR="00655304" w:rsidRDefault="00655304" w:rsidP="00FE7D2E">
      <w:pPr>
        <w:rPr>
          <w:rFonts w:cs="Arial"/>
          <w:sz w:val="24"/>
          <w:szCs w:val="24"/>
        </w:rPr>
      </w:pPr>
    </w:p>
    <w:p w14:paraId="26BD842D" w14:textId="77777777" w:rsidR="00FE7D2E" w:rsidRPr="00FE7D2E" w:rsidRDefault="00FE7D2E" w:rsidP="00FE7D2E">
      <w:pPr>
        <w:rPr>
          <w:rFonts w:cs="Arial"/>
          <w:sz w:val="24"/>
          <w:szCs w:val="24"/>
        </w:rPr>
      </w:pPr>
    </w:p>
    <w:p w14:paraId="3868CF9F" w14:textId="393DA77A" w:rsidR="00655304" w:rsidRPr="00FE7D2E" w:rsidRDefault="00423360" w:rsidP="00FE7D2E">
      <w:pPr>
        <w:rPr>
          <w:rFonts w:cs="Arial"/>
          <w:b/>
          <w:bCs/>
          <w:sz w:val="24"/>
          <w:szCs w:val="24"/>
        </w:rPr>
      </w:pPr>
      <w:r w:rsidRPr="00FE7D2E">
        <w:rPr>
          <w:rFonts w:cs="Arial"/>
          <w:b/>
          <w:bCs/>
          <w:sz w:val="24"/>
          <w:szCs w:val="24"/>
        </w:rPr>
        <w:t>Section 84.4(a)</w:t>
      </w:r>
      <w:r w:rsidR="00A40FE9" w:rsidRPr="00FE7D2E">
        <w:rPr>
          <w:rFonts w:cs="Arial"/>
          <w:b/>
          <w:bCs/>
          <w:sz w:val="24"/>
          <w:szCs w:val="24"/>
        </w:rPr>
        <w:t xml:space="preserve"> - Disability</w:t>
      </w:r>
    </w:p>
    <w:p w14:paraId="381566B8" w14:textId="77777777" w:rsidR="006B5334" w:rsidRPr="00FE7D2E" w:rsidRDefault="006B5334" w:rsidP="00FE7D2E">
      <w:pPr>
        <w:rPr>
          <w:rFonts w:cs="Arial"/>
          <w:i/>
          <w:iCs/>
          <w:sz w:val="24"/>
          <w:szCs w:val="24"/>
          <w:u w:val="single"/>
        </w:rPr>
      </w:pPr>
    </w:p>
    <w:p w14:paraId="26E20A5C" w14:textId="331497EE" w:rsidR="00B77AC1" w:rsidRPr="00FE7D2E" w:rsidRDefault="0018514D" w:rsidP="00FE7D2E">
      <w:pPr>
        <w:rPr>
          <w:rFonts w:cs="Arial"/>
          <w:sz w:val="24"/>
          <w:szCs w:val="24"/>
          <w:u w:val="single"/>
        </w:rPr>
      </w:pPr>
      <w:r w:rsidRPr="00FE7D2E">
        <w:rPr>
          <w:rFonts w:cs="Arial"/>
          <w:i/>
          <w:iCs/>
          <w:sz w:val="24"/>
          <w:szCs w:val="24"/>
          <w:u w:val="single"/>
        </w:rPr>
        <w:t>Obesity</w:t>
      </w:r>
    </w:p>
    <w:p w14:paraId="1A5FCA4C" w14:textId="77777777" w:rsidR="0018514D" w:rsidRPr="00FE7D2E" w:rsidRDefault="0018514D" w:rsidP="00FE7D2E">
      <w:pPr>
        <w:rPr>
          <w:rFonts w:cs="Arial"/>
          <w:sz w:val="24"/>
          <w:szCs w:val="24"/>
        </w:rPr>
      </w:pPr>
    </w:p>
    <w:p w14:paraId="148EAD56" w14:textId="339A221D" w:rsidR="0018514D" w:rsidRPr="00FE7D2E" w:rsidRDefault="0018514D" w:rsidP="00FE7D2E">
      <w:pPr>
        <w:rPr>
          <w:rFonts w:cs="Arial"/>
          <w:sz w:val="24"/>
          <w:szCs w:val="24"/>
        </w:rPr>
      </w:pPr>
      <w:r w:rsidRPr="00FE7D2E">
        <w:rPr>
          <w:rFonts w:cs="Arial"/>
          <w:sz w:val="24"/>
          <w:szCs w:val="24"/>
        </w:rPr>
        <w:t xml:space="preserve">We strongly support OCR’s </w:t>
      </w:r>
      <w:r w:rsidR="00804FB3" w:rsidRPr="00FE7D2E">
        <w:rPr>
          <w:rFonts w:cs="Arial"/>
          <w:sz w:val="24"/>
          <w:szCs w:val="24"/>
        </w:rPr>
        <w:t xml:space="preserve">proposal to incorporate the definition of </w:t>
      </w:r>
      <w:r w:rsidR="00751B71" w:rsidRPr="00FE7D2E">
        <w:rPr>
          <w:rFonts w:cs="Arial"/>
          <w:sz w:val="24"/>
          <w:szCs w:val="24"/>
        </w:rPr>
        <w:t>disability from the Americans with Disabilities Act such that the breadth</w:t>
      </w:r>
      <w:r w:rsidR="00B3336B" w:rsidRPr="00FE7D2E">
        <w:rPr>
          <w:rFonts w:cs="Arial"/>
          <w:sz w:val="24"/>
          <w:szCs w:val="24"/>
        </w:rPr>
        <w:t xml:space="preserve"> of the term and its intended construction under the Americans with Disabilities </w:t>
      </w:r>
      <w:r w:rsidR="001679C1" w:rsidRPr="00FE7D2E">
        <w:rPr>
          <w:rFonts w:cs="Arial"/>
          <w:sz w:val="24"/>
          <w:szCs w:val="24"/>
        </w:rPr>
        <w:t xml:space="preserve">Act </w:t>
      </w:r>
      <w:r w:rsidR="00B3336B" w:rsidRPr="00FE7D2E">
        <w:rPr>
          <w:rFonts w:cs="Arial"/>
          <w:sz w:val="24"/>
          <w:szCs w:val="24"/>
        </w:rPr>
        <w:t>Amendment Act</w:t>
      </w:r>
      <w:r w:rsidR="009D4D06" w:rsidRPr="00FE7D2E">
        <w:rPr>
          <w:rFonts w:cs="Arial"/>
          <w:sz w:val="24"/>
          <w:szCs w:val="24"/>
        </w:rPr>
        <w:t xml:space="preserve"> (ADAAA)</w:t>
      </w:r>
      <w:r w:rsidR="00AA51E3" w:rsidRPr="00FE7D2E">
        <w:rPr>
          <w:rStyle w:val="EndnoteReference"/>
          <w:rFonts w:cs="Arial"/>
          <w:sz w:val="24"/>
          <w:szCs w:val="24"/>
        </w:rPr>
        <w:endnoteReference w:id="1"/>
      </w:r>
      <w:r w:rsidR="00B3336B" w:rsidRPr="00FE7D2E">
        <w:rPr>
          <w:rFonts w:cs="Arial"/>
          <w:sz w:val="24"/>
          <w:szCs w:val="24"/>
        </w:rPr>
        <w:t xml:space="preserve"> are incorporated within Section 504.</w:t>
      </w:r>
      <w:r w:rsidR="00904ED8" w:rsidRPr="00FE7D2E">
        <w:rPr>
          <w:rFonts w:cs="Arial"/>
          <w:sz w:val="24"/>
          <w:szCs w:val="24"/>
        </w:rPr>
        <w:t xml:space="preserve"> </w:t>
      </w:r>
      <w:r w:rsidR="001D57B7" w:rsidRPr="00FE7D2E">
        <w:rPr>
          <w:rFonts w:cs="Arial"/>
          <w:sz w:val="24"/>
          <w:szCs w:val="24"/>
        </w:rPr>
        <w:t>We also strongly support the recognition of Long COVID</w:t>
      </w:r>
      <w:r w:rsidR="00DF0FAF" w:rsidRPr="00FE7D2E">
        <w:rPr>
          <w:rFonts w:cs="Arial"/>
          <w:sz w:val="24"/>
          <w:szCs w:val="24"/>
        </w:rPr>
        <w:t xml:space="preserve"> with the proposed rule’s non-exhaustive list of physical or mental impairments</w:t>
      </w:r>
      <w:r w:rsidR="00F277E2" w:rsidRPr="00FE7D2E">
        <w:rPr>
          <w:rFonts w:cs="Arial"/>
          <w:sz w:val="24"/>
          <w:szCs w:val="24"/>
        </w:rPr>
        <w:t xml:space="preserve">, given the significant percentage of the population that now experiences Long COVID as a chronic disabling condition and </w:t>
      </w:r>
      <w:r w:rsidR="0035577A" w:rsidRPr="00FE7D2E">
        <w:rPr>
          <w:rFonts w:cs="Arial"/>
          <w:sz w:val="24"/>
          <w:szCs w:val="24"/>
        </w:rPr>
        <w:t>because the condition did not exist at the time of the original 504 regulation</w:t>
      </w:r>
      <w:r w:rsidR="00DF0FAF" w:rsidRPr="00FE7D2E">
        <w:rPr>
          <w:rFonts w:cs="Arial"/>
          <w:sz w:val="24"/>
          <w:szCs w:val="24"/>
        </w:rPr>
        <w:t xml:space="preserve">. That same reasoning </w:t>
      </w:r>
      <w:r w:rsidR="009520C6" w:rsidRPr="00FE7D2E">
        <w:rPr>
          <w:rFonts w:cs="Arial"/>
          <w:sz w:val="24"/>
          <w:szCs w:val="24"/>
        </w:rPr>
        <w:t xml:space="preserve">should persuade the OCR to </w:t>
      </w:r>
      <w:r w:rsidR="004D5B17" w:rsidRPr="00FE7D2E">
        <w:rPr>
          <w:rFonts w:cs="Arial"/>
          <w:sz w:val="24"/>
          <w:szCs w:val="24"/>
        </w:rPr>
        <w:t>seriously consider the inclusion of obesity within the list of physical or mental impairment</w:t>
      </w:r>
      <w:r w:rsidR="0035577A" w:rsidRPr="00FE7D2E">
        <w:rPr>
          <w:rFonts w:cs="Arial"/>
          <w:sz w:val="24"/>
          <w:szCs w:val="24"/>
        </w:rPr>
        <w:t>s</w:t>
      </w:r>
      <w:r w:rsidR="004D5B17" w:rsidRPr="00FE7D2E">
        <w:rPr>
          <w:rFonts w:cs="Arial"/>
          <w:sz w:val="24"/>
          <w:szCs w:val="24"/>
        </w:rPr>
        <w:t>.</w:t>
      </w:r>
      <w:r w:rsidR="00DE3154" w:rsidRPr="00FE7D2E">
        <w:rPr>
          <w:rFonts w:cs="Arial"/>
          <w:sz w:val="24"/>
          <w:szCs w:val="24"/>
        </w:rPr>
        <w:t xml:space="preserve"> While high</w:t>
      </w:r>
      <w:r w:rsidR="00BB6786" w:rsidRPr="00FE7D2E">
        <w:rPr>
          <w:rFonts w:cs="Arial"/>
          <w:sz w:val="24"/>
          <w:szCs w:val="24"/>
        </w:rPr>
        <w:t>er</w:t>
      </w:r>
      <w:r w:rsidR="00DE3154" w:rsidRPr="00FE7D2E">
        <w:rPr>
          <w:rFonts w:cs="Arial"/>
          <w:sz w:val="24"/>
          <w:szCs w:val="24"/>
        </w:rPr>
        <w:t xml:space="preserve"> weight people existed during </w:t>
      </w:r>
      <w:r w:rsidR="00BB6786" w:rsidRPr="00FE7D2E">
        <w:rPr>
          <w:rFonts w:cs="Arial"/>
          <w:sz w:val="24"/>
          <w:szCs w:val="24"/>
        </w:rPr>
        <w:t xml:space="preserve">the 1970s and obviously well before, the medical fields understanding </w:t>
      </w:r>
      <w:r w:rsidR="00811163" w:rsidRPr="00FE7D2E">
        <w:rPr>
          <w:rFonts w:cs="Arial"/>
          <w:sz w:val="24"/>
          <w:szCs w:val="24"/>
        </w:rPr>
        <w:t xml:space="preserve">of </w:t>
      </w:r>
      <w:r w:rsidR="00FB74E3" w:rsidRPr="00FE7D2E">
        <w:rPr>
          <w:rFonts w:cs="Arial"/>
          <w:sz w:val="24"/>
          <w:szCs w:val="24"/>
        </w:rPr>
        <w:t xml:space="preserve">obesity </w:t>
      </w:r>
      <w:r w:rsidR="00811163" w:rsidRPr="00FE7D2E">
        <w:rPr>
          <w:rFonts w:cs="Arial"/>
          <w:sz w:val="24"/>
          <w:szCs w:val="24"/>
        </w:rPr>
        <w:t>as a medical condition</w:t>
      </w:r>
      <w:r w:rsidR="00FB74E3" w:rsidRPr="00FE7D2E">
        <w:rPr>
          <w:rFonts w:cs="Arial"/>
          <w:sz w:val="24"/>
          <w:szCs w:val="24"/>
        </w:rPr>
        <w:t xml:space="preserve"> or “disease”</w:t>
      </w:r>
      <w:r w:rsidR="005E4883" w:rsidRPr="00FE7D2E">
        <w:rPr>
          <w:rFonts w:cs="Arial"/>
          <w:sz w:val="24"/>
          <w:szCs w:val="24"/>
        </w:rPr>
        <w:t xml:space="preserve"> that requires active </w:t>
      </w:r>
      <w:r w:rsidR="00FB74E3" w:rsidRPr="00FE7D2E">
        <w:rPr>
          <w:rFonts w:cs="Arial"/>
          <w:sz w:val="24"/>
          <w:szCs w:val="24"/>
        </w:rPr>
        <w:t>t</w:t>
      </w:r>
      <w:r w:rsidR="005E4883" w:rsidRPr="00FE7D2E">
        <w:rPr>
          <w:rFonts w:cs="Arial"/>
          <w:sz w:val="24"/>
          <w:szCs w:val="24"/>
        </w:rPr>
        <w:t>reatment</w:t>
      </w:r>
      <w:r w:rsidR="004E64B8" w:rsidRPr="00FE7D2E">
        <w:rPr>
          <w:rFonts w:cs="Arial"/>
          <w:sz w:val="24"/>
          <w:szCs w:val="24"/>
        </w:rPr>
        <w:t xml:space="preserve">, </w:t>
      </w:r>
      <w:r w:rsidR="005E4883" w:rsidRPr="00FE7D2E">
        <w:rPr>
          <w:rFonts w:cs="Arial"/>
          <w:sz w:val="24"/>
          <w:szCs w:val="24"/>
        </w:rPr>
        <w:t xml:space="preserve">even without </w:t>
      </w:r>
      <w:r w:rsidR="004E64B8" w:rsidRPr="00FE7D2E">
        <w:rPr>
          <w:rFonts w:cs="Arial"/>
          <w:sz w:val="24"/>
          <w:szCs w:val="24"/>
        </w:rPr>
        <w:t>any accompanying comorbidities, has</w:t>
      </w:r>
      <w:r w:rsidR="009D4D06" w:rsidRPr="00FE7D2E">
        <w:rPr>
          <w:rFonts w:cs="Arial"/>
          <w:sz w:val="24"/>
          <w:szCs w:val="24"/>
        </w:rPr>
        <w:t xml:space="preserve"> changed sharply since Section 504, the ADA, and even the ADAAA was enacted.</w:t>
      </w:r>
      <w:r w:rsidR="009D4D06" w:rsidRPr="00FE7D2E">
        <w:rPr>
          <w:rStyle w:val="EndnoteReference"/>
          <w:rFonts w:cs="Arial"/>
          <w:sz w:val="24"/>
          <w:szCs w:val="24"/>
        </w:rPr>
        <w:endnoteReference w:id="2"/>
      </w:r>
      <w:r w:rsidR="00D31B80" w:rsidRPr="00FE7D2E">
        <w:rPr>
          <w:rFonts w:cs="Arial"/>
          <w:sz w:val="24"/>
          <w:szCs w:val="24"/>
        </w:rPr>
        <w:t xml:space="preserve"> This shift has been accompanied by a move away from the new of higher weight as individuals who lack will</w:t>
      </w:r>
      <w:r w:rsidR="00941F68" w:rsidRPr="00FE7D2E">
        <w:rPr>
          <w:rFonts w:cs="Arial"/>
          <w:sz w:val="24"/>
          <w:szCs w:val="24"/>
        </w:rPr>
        <w:t xml:space="preserve">power and are entirely responsible for their own presumed ill health which can be reversed with simple </w:t>
      </w:r>
      <w:r w:rsidR="00F168CD" w:rsidRPr="00FE7D2E">
        <w:rPr>
          <w:rFonts w:cs="Arial"/>
          <w:sz w:val="24"/>
          <w:szCs w:val="24"/>
        </w:rPr>
        <w:t>exercise and better eating habits.</w:t>
      </w:r>
    </w:p>
    <w:p w14:paraId="0AC79ED1" w14:textId="77777777" w:rsidR="00F168CD" w:rsidRPr="00FE7D2E" w:rsidRDefault="00F168CD" w:rsidP="00FE7D2E">
      <w:pPr>
        <w:rPr>
          <w:rFonts w:cs="Arial"/>
          <w:sz w:val="24"/>
          <w:szCs w:val="24"/>
        </w:rPr>
      </w:pPr>
    </w:p>
    <w:p w14:paraId="39507613" w14:textId="63A73E58" w:rsidR="00F168CD" w:rsidRPr="00FE7D2E" w:rsidRDefault="00F168CD" w:rsidP="00FE7D2E">
      <w:pPr>
        <w:rPr>
          <w:rFonts w:cs="Arial"/>
          <w:sz w:val="24"/>
          <w:szCs w:val="24"/>
        </w:rPr>
      </w:pPr>
      <w:r w:rsidRPr="00FE7D2E">
        <w:rPr>
          <w:rFonts w:cs="Arial"/>
          <w:sz w:val="24"/>
          <w:szCs w:val="24"/>
        </w:rPr>
        <w:t xml:space="preserve">Unfortunately, </w:t>
      </w:r>
      <w:r w:rsidR="00A46B3C" w:rsidRPr="00FE7D2E">
        <w:rPr>
          <w:rFonts w:cs="Arial"/>
          <w:sz w:val="24"/>
          <w:szCs w:val="24"/>
        </w:rPr>
        <w:t xml:space="preserve">this change in the perception of higher weight, obesity, and the </w:t>
      </w:r>
      <w:r w:rsidR="00D27E4F" w:rsidRPr="00FE7D2E">
        <w:rPr>
          <w:rFonts w:cs="Arial"/>
          <w:sz w:val="24"/>
          <w:szCs w:val="24"/>
        </w:rPr>
        <w:t xml:space="preserve">personal characteristics of higher weight people has not been accompanied by a reduction in the pervasive healthcare discrimination endured by </w:t>
      </w:r>
      <w:r w:rsidR="00F203A6" w:rsidRPr="00FE7D2E">
        <w:rPr>
          <w:rFonts w:cs="Arial"/>
          <w:sz w:val="24"/>
          <w:szCs w:val="24"/>
        </w:rPr>
        <w:t>higher weight individuals. The presence of higher weight is treat</w:t>
      </w:r>
      <w:r w:rsidR="0075277C" w:rsidRPr="00FE7D2E">
        <w:rPr>
          <w:rFonts w:cs="Arial"/>
          <w:sz w:val="24"/>
          <w:szCs w:val="24"/>
        </w:rPr>
        <w:t>ed</w:t>
      </w:r>
      <w:r w:rsidR="00F203A6" w:rsidRPr="00FE7D2E">
        <w:rPr>
          <w:rFonts w:cs="Arial"/>
          <w:sz w:val="24"/>
          <w:szCs w:val="24"/>
        </w:rPr>
        <w:t xml:space="preserve"> as a disab</w:t>
      </w:r>
      <w:r w:rsidR="0075277C" w:rsidRPr="00FE7D2E">
        <w:rPr>
          <w:rFonts w:cs="Arial"/>
          <w:sz w:val="24"/>
          <w:szCs w:val="24"/>
        </w:rPr>
        <w:t>ling condition</w:t>
      </w:r>
      <w:r w:rsidR="00F203A6" w:rsidRPr="00FE7D2E">
        <w:rPr>
          <w:rFonts w:cs="Arial"/>
          <w:sz w:val="24"/>
          <w:szCs w:val="24"/>
        </w:rPr>
        <w:t xml:space="preserve"> for the purposes of </w:t>
      </w:r>
      <w:r w:rsidR="00F203A6" w:rsidRPr="00FE7D2E">
        <w:rPr>
          <w:rFonts w:cs="Arial"/>
          <w:i/>
          <w:iCs/>
          <w:sz w:val="24"/>
          <w:szCs w:val="24"/>
        </w:rPr>
        <w:t>denying</w:t>
      </w:r>
      <w:r w:rsidR="00F203A6" w:rsidRPr="00FE7D2E">
        <w:rPr>
          <w:rFonts w:cs="Arial"/>
          <w:sz w:val="24"/>
          <w:szCs w:val="24"/>
        </w:rPr>
        <w:t xml:space="preserve"> health care and treatments such as </w:t>
      </w:r>
      <w:r w:rsidR="0075277C" w:rsidRPr="00FE7D2E">
        <w:rPr>
          <w:rFonts w:cs="Arial"/>
          <w:sz w:val="24"/>
          <w:szCs w:val="24"/>
        </w:rPr>
        <w:t xml:space="preserve">organ </w:t>
      </w:r>
      <w:r w:rsidR="00F203A6" w:rsidRPr="00FE7D2E">
        <w:rPr>
          <w:rFonts w:cs="Arial"/>
          <w:sz w:val="24"/>
          <w:szCs w:val="24"/>
        </w:rPr>
        <w:t>transplants</w:t>
      </w:r>
      <w:r w:rsidR="000B6A90" w:rsidRPr="00FE7D2E">
        <w:rPr>
          <w:rFonts w:cs="Arial"/>
          <w:sz w:val="24"/>
          <w:szCs w:val="24"/>
        </w:rPr>
        <w:t xml:space="preserve"> or </w:t>
      </w:r>
      <w:r w:rsidR="006402D0" w:rsidRPr="00FE7D2E">
        <w:rPr>
          <w:rFonts w:cs="Arial"/>
          <w:sz w:val="24"/>
          <w:szCs w:val="24"/>
        </w:rPr>
        <w:t xml:space="preserve">fertility treatments, yet not acknowledged </w:t>
      </w:r>
      <w:r w:rsidR="0089108A" w:rsidRPr="00FE7D2E">
        <w:rPr>
          <w:rFonts w:cs="Arial"/>
          <w:sz w:val="24"/>
          <w:szCs w:val="24"/>
        </w:rPr>
        <w:t xml:space="preserve">as a disability when it comes to needed protection from </w:t>
      </w:r>
      <w:r w:rsidR="006240F4" w:rsidRPr="00FE7D2E">
        <w:rPr>
          <w:rFonts w:cs="Arial"/>
          <w:sz w:val="24"/>
          <w:szCs w:val="24"/>
        </w:rPr>
        <w:t xml:space="preserve">medical treatment discrimination, barriers of inaccessible equipment, unequal care, and </w:t>
      </w:r>
      <w:r w:rsidR="00A058BB" w:rsidRPr="00FE7D2E">
        <w:rPr>
          <w:rFonts w:cs="Arial"/>
          <w:sz w:val="24"/>
          <w:szCs w:val="24"/>
        </w:rPr>
        <w:t>still existing stereotypes. DREDF endorses the many examples of healthcare discrimination</w:t>
      </w:r>
      <w:r w:rsidR="0089108A" w:rsidRPr="00FE7D2E">
        <w:rPr>
          <w:rFonts w:cs="Arial"/>
          <w:sz w:val="24"/>
          <w:szCs w:val="24"/>
        </w:rPr>
        <w:t xml:space="preserve"> </w:t>
      </w:r>
      <w:r w:rsidR="00A058BB" w:rsidRPr="00FE7D2E">
        <w:rPr>
          <w:rFonts w:cs="Arial"/>
          <w:sz w:val="24"/>
          <w:szCs w:val="24"/>
        </w:rPr>
        <w:t xml:space="preserve">raised by </w:t>
      </w:r>
      <w:r w:rsidR="007A1438" w:rsidRPr="00FE7D2E">
        <w:rPr>
          <w:rFonts w:cs="Arial"/>
          <w:sz w:val="24"/>
          <w:szCs w:val="24"/>
        </w:rPr>
        <w:t xml:space="preserve">Fat Legal Advocacy, Rights and </w:t>
      </w:r>
      <w:r w:rsidR="007A1438" w:rsidRPr="00FE7D2E">
        <w:rPr>
          <w:rFonts w:cs="Arial"/>
          <w:sz w:val="24"/>
          <w:szCs w:val="24"/>
        </w:rPr>
        <w:lastRenderedPageBreak/>
        <w:t>Education (FLARE!)</w:t>
      </w:r>
      <w:r w:rsidR="0028150E" w:rsidRPr="00FE7D2E">
        <w:rPr>
          <w:rFonts w:cs="Arial"/>
          <w:sz w:val="24"/>
          <w:szCs w:val="24"/>
        </w:rPr>
        <w:t xml:space="preserve"> in its comment to HHS OCR on the proposed rule. </w:t>
      </w:r>
      <w:r w:rsidR="00D148FA" w:rsidRPr="00FE7D2E">
        <w:rPr>
          <w:rFonts w:cs="Arial"/>
          <w:sz w:val="24"/>
          <w:szCs w:val="24"/>
        </w:rPr>
        <w:t>FLARE’s point that higher weight is more prevalent among people of color</w:t>
      </w:r>
      <w:r w:rsidR="0070099A" w:rsidRPr="00FE7D2E">
        <w:rPr>
          <w:rFonts w:cs="Arial"/>
          <w:sz w:val="24"/>
          <w:szCs w:val="24"/>
        </w:rPr>
        <w:t xml:space="preserve">, and among some members of LGBTQ+ communities, </w:t>
      </w:r>
      <w:r w:rsidR="00B65D1C" w:rsidRPr="00FE7D2E">
        <w:rPr>
          <w:rFonts w:cs="Arial"/>
          <w:sz w:val="24"/>
          <w:szCs w:val="24"/>
        </w:rPr>
        <w:t xml:space="preserve">also means that </w:t>
      </w:r>
      <w:r w:rsidR="00E37969" w:rsidRPr="00FE7D2E">
        <w:rPr>
          <w:rFonts w:cs="Arial"/>
          <w:sz w:val="24"/>
          <w:szCs w:val="24"/>
        </w:rPr>
        <w:t xml:space="preserve">some disabled individuals are facing the burden of compounded </w:t>
      </w:r>
      <w:r w:rsidR="00D62663" w:rsidRPr="00FE7D2E">
        <w:rPr>
          <w:rFonts w:cs="Arial"/>
          <w:sz w:val="24"/>
          <w:szCs w:val="24"/>
        </w:rPr>
        <w:t xml:space="preserve">layers of </w:t>
      </w:r>
      <w:r w:rsidR="00E37969" w:rsidRPr="00FE7D2E">
        <w:rPr>
          <w:rFonts w:cs="Arial"/>
          <w:sz w:val="24"/>
          <w:szCs w:val="24"/>
        </w:rPr>
        <w:t xml:space="preserve">discrimination </w:t>
      </w:r>
      <w:r w:rsidR="00B74498" w:rsidRPr="00FE7D2E">
        <w:rPr>
          <w:rFonts w:cs="Arial"/>
          <w:sz w:val="24"/>
          <w:szCs w:val="24"/>
        </w:rPr>
        <w:t>when seeking healthcare</w:t>
      </w:r>
      <w:r w:rsidR="00FF7625" w:rsidRPr="00FE7D2E">
        <w:rPr>
          <w:rFonts w:cs="Arial"/>
          <w:sz w:val="24"/>
          <w:szCs w:val="24"/>
        </w:rPr>
        <w:t xml:space="preserve">, and left without the legal tools that allow them to seek redress for </w:t>
      </w:r>
      <w:r w:rsidR="00040FC3" w:rsidRPr="00FE7D2E">
        <w:rPr>
          <w:rFonts w:cs="Arial"/>
          <w:sz w:val="24"/>
          <w:szCs w:val="24"/>
        </w:rPr>
        <w:t xml:space="preserve">denials of care and inaccessibility that are extremely difficult to disentangle as </w:t>
      </w:r>
      <w:r w:rsidR="0012572A" w:rsidRPr="00FE7D2E">
        <w:rPr>
          <w:rFonts w:cs="Arial"/>
          <w:sz w:val="24"/>
          <w:szCs w:val="24"/>
        </w:rPr>
        <w:t>“solely”</w:t>
      </w:r>
      <w:r w:rsidR="00E825B6" w:rsidRPr="00FE7D2E">
        <w:rPr>
          <w:rFonts w:cs="Arial"/>
          <w:sz w:val="24"/>
          <w:szCs w:val="24"/>
        </w:rPr>
        <w:t xml:space="preserve"> attributable to a recognized disability, obesity, the color of their skin, or their gender identity or sexual orientation. While the following recommendations may not </w:t>
      </w:r>
      <w:r w:rsidR="0012572A" w:rsidRPr="00FE7D2E">
        <w:rPr>
          <w:rFonts w:cs="Arial"/>
          <w:sz w:val="24"/>
          <w:szCs w:val="24"/>
        </w:rPr>
        <w:t xml:space="preserve">fully </w:t>
      </w:r>
      <w:r w:rsidR="00E662DA" w:rsidRPr="00FE7D2E">
        <w:rPr>
          <w:rFonts w:cs="Arial"/>
          <w:sz w:val="24"/>
          <w:szCs w:val="24"/>
        </w:rPr>
        <w:t xml:space="preserve">address all of these problems, they will at least begin to level the playing field for higher weight people </w:t>
      </w:r>
      <w:r w:rsidR="008F084C" w:rsidRPr="00FE7D2E">
        <w:rPr>
          <w:rFonts w:cs="Arial"/>
          <w:sz w:val="24"/>
          <w:szCs w:val="24"/>
        </w:rPr>
        <w:t>who are already recognized medically, and unfortunately discriminated against, as if they were disabled</w:t>
      </w:r>
      <w:r w:rsidR="00702261" w:rsidRPr="00FE7D2E">
        <w:rPr>
          <w:rFonts w:cs="Arial"/>
          <w:sz w:val="24"/>
          <w:szCs w:val="24"/>
        </w:rPr>
        <w:t xml:space="preserve">. </w:t>
      </w:r>
    </w:p>
    <w:p w14:paraId="1EAC1F90" w14:textId="65AFD2FA" w:rsidR="00A40FE9" w:rsidRPr="00FE7D2E" w:rsidRDefault="00A40FE9" w:rsidP="00FE7D2E">
      <w:pPr>
        <w:pStyle w:val="ListParagraph"/>
        <w:numPr>
          <w:ilvl w:val="0"/>
          <w:numId w:val="10"/>
        </w:numPr>
        <w:rPr>
          <w:rFonts w:cs="Arial"/>
          <w:sz w:val="24"/>
          <w:szCs w:val="24"/>
        </w:rPr>
      </w:pPr>
      <w:r w:rsidRPr="00FE7D2E">
        <w:rPr>
          <w:rFonts w:cs="Arial"/>
          <w:sz w:val="24"/>
          <w:szCs w:val="24"/>
        </w:rPr>
        <w:t>Include “obesity” in the list of examples of physical or mental impairments</w:t>
      </w:r>
      <w:r w:rsidR="008441EC" w:rsidRPr="00FE7D2E">
        <w:rPr>
          <w:rFonts w:cs="Arial"/>
          <w:sz w:val="24"/>
          <w:szCs w:val="24"/>
        </w:rPr>
        <w:t>, along with examples of higher weight discrimination in the healthcare and other relevant fields such as child care.</w:t>
      </w:r>
    </w:p>
    <w:p w14:paraId="5101A3AB" w14:textId="1D44D5B0" w:rsidR="009C7B6F" w:rsidRPr="00FE7D2E" w:rsidRDefault="001725C9" w:rsidP="00FE7D2E">
      <w:pPr>
        <w:pStyle w:val="ListParagraph"/>
        <w:numPr>
          <w:ilvl w:val="0"/>
          <w:numId w:val="10"/>
        </w:numPr>
        <w:rPr>
          <w:rFonts w:cs="Arial"/>
          <w:sz w:val="24"/>
          <w:szCs w:val="24"/>
        </w:rPr>
      </w:pPr>
      <w:r w:rsidRPr="00FE7D2E">
        <w:rPr>
          <w:rFonts w:cs="Arial"/>
          <w:sz w:val="24"/>
          <w:szCs w:val="24"/>
        </w:rPr>
        <w:t>Recognize blanket BMI cutoffs for medical treatment</w:t>
      </w:r>
      <w:r w:rsidR="009C7B6F" w:rsidRPr="00FE7D2E">
        <w:rPr>
          <w:rFonts w:cs="Arial"/>
          <w:sz w:val="24"/>
          <w:szCs w:val="24"/>
        </w:rPr>
        <w:t>, including organ transplantation,</w:t>
      </w:r>
      <w:r w:rsidRPr="00FE7D2E">
        <w:rPr>
          <w:rFonts w:cs="Arial"/>
          <w:sz w:val="24"/>
          <w:szCs w:val="24"/>
        </w:rPr>
        <w:t xml:space="preserve"> as discrimination </w:t>
      </w:r>
      <w:r w:rsidR="00725C13" w:rsidRPr="00FE7D2E">
        <w:rPr>
          <w:rFonts w:cs="Arial"/>
          <w:sz w:val="24"/>
          <w:szCs w:val="24"/>
        </w:rPr>
        <w:t xml:space="preserve">when they result in </w:t>
      </w:r>
      <w:r w:rsidR="009C7B6F" w:rsidRPr="00FE7D2E">
        <w:rPr>
          <w:rFonts w:cs="Arial"/>
          <w:sz w:val="24"/>
          <w:szCs w:val="24"/>
        </w:rPr>
        <w:t xml:space="preserve">the denial </w:t>
      </w:r>
      <w:r w:rsidR="00DD1931">
        <w:rPr>
          <w:rFonts w:cs="Arial"/>
          <w:sz w:val="24"/>
          <w:szCs w:val="24"/>
        </w:rPr>
        <w:t xml:space="preserve">of treatment </w:t>
      </w:r>
      <w:r w:rsidR="00725C13" w:rsidRPr="00FE7D2E">
        <w:rPr>
          <w:rFonts w:cs="Arial"/>
          <w:sz w:val="24"/>
          <w:szCs w:val="24"/>
        </w:rPr>
        <w:t xml:space="preserve">or overriding of individualized </w:t>
      </w:r>
      <w:r w:rsidR="0098058F" w:rsidRPr="00FE7D2E">
        <w:rPr>
          <w:rFonts w:cs="Arial"/>
          <w:sz w:val="24"/>
          <w:szCs w:val="24"/>
        </w:rPr>
        <w:t xml:space="preserve">medical evaluations </w:t>
      </w:r>
      <w:r w:rsidR="00725C13" w:rsidRPr="00FE7D2E">
        <w:rPr>
          <w:rFonts w:cs="Arial"/>
          <w:sz w:val="24"/>
          <w:szCs w:val="24"/>
        </w:rPr>
        <w:t xml:space="preserve">of </w:t>
      </w:r>
      <w:r w:rsidR="009C7B6F" w:rsidRPr="00FE7D2E">
        <w:rPr>
          <w:rFonts w:cs="Arial"/>
          <w:sz w:val="24"/>
          <w:szCs w:val="24"/>
        </w:rPr>
        <w:t>patients who are obese or higher weight</w:t>
      </w:r>
      <w:r w:rsidR="0098058F" w:rsidRPr="00FE7D2E">
        <w:rPr>
          <w:rFonts w:cs="Arial"/>
          <w:sz w:val="24"/>
          <w:szCs w:val="24"/>
        </w:rPr>
        <w:t xml:space="preserve"> for </w:t>
      </w:r>
      <w:r w:rsidR="006B49A5" w:rsidRPr="00FE7D2E">
        <w:rPr>
          <w:rFonts w:cs="Arial"/>
          <w:sz w:val="24"/>
          <w:szCs w:val="24"/>
        </w:rPr>
        <w:t>healthcare</w:t>
      </w:r>
      <w:r w:rsidR="009C7B6F" w:rsidRPr="00FE7D2E">
        <w:rPr>
          <w:rFonts w:cs="Arial"/>
          <w:sz w:val="24"/>
          <w:szCs w:val="24"/>
        </w:rPr>
        <w:t>.</w:t>
      </w:r>
    </w:p>
    <w:p w14:paraId="2B88F179" w14:textId="6C77B44C" w:rsidR="009C7B6F" w:rsidRPr="00FE7D2E" w:rsidRDefault="006B49A5" w:rsidP="00FE7D2E">
      <w:pPr>
        <w:pStyle w:val="ListParagraph"/>
        <w:numPr>
          <w:ilvl w:val="0"/>
          <w:numId w:val="10"/>
        </w:numPr>
        <w:rPr>
          <w:rFonts w:cs="Arial"/>
          <w:sz w:val="24"/>
          <w:szCs w:val="24"/>
        </w:rPr>
      </w:pPr>
      <w:r w:rsidRPr="00FE7D2E">
        <w:rPr>
          <w:rFonts w:cs="Arial"/>
          <w:color w:val="000000"/>
          <w:sz w:val="24"/>
          <w:szCs w:val="24"/>
        </w:rPr>
        <w:t xml:space="preserve">Under </w:t>
      </w:r>
      <w:r w:rsidRPr="00FE7D2E">
        <w:rPr>
          <w:rFonts w:cs="Arial"/>
          <w:b/>
          <w:bCs/>
          <w:color w:val="000000"/>
          <w:sz w:val="24"/>
          <w:szCs w:val="24"/>
        </w:rPr>
        <w:t xml:space="preserve">Medical Question </w:t>
      </w:r>
      <w:r w:rsidRPr="00FE7D2E">
        <w:rPr>
          <w:rFonts w:cs="Arial"/>
          <w:b/>
          <w:bCs/>
          <w:color w:val="000000"/>
          <w:sz w:val="24"/>
          <w:szCs w:val="24"/>
        </w:rPr>
        <w:t>#</w:t>
      </w:r>
      <w:r w:rsidRPr="00FE7D2E">
        <w:rPr>
          <w:rFonts w:cs="Arial"/>
          <w:b/>
          <w:bCs/>
          <w:color w:val="000000"/>
          <w:sz w:val="24"/>
          <w:szCs w:val="24"/>
        </w:rPr>
        <w:t xml:space="preserve">2 </w:t>
      </w:r>
      <w:r w:rsidRPr="00FE7D2E">
        <w:rPr>
          <w:rFonts w:cs="Arial"/>
          <w:color w:val="000000"/>
          <w:sz w:val="24"/>
          <w:szCs w:val="24"/>
        </w:rPr>
        <w:t>and</w:t>
      </w:r>
      <w:r w:rsidRPr="00FE7D2E">
        <w:rPr>
          <w:rFonts w:cs="Arial"/>
          <w:b/>
          <w:bCs/>
          <w:color w:val="000000"/>
          <w:sz w:val="24"/>
          <w:szCs w:val="24"/>
        </w:rPr>
        <w:t xml:space="preserve"> Medical Question </w:t>
      </w:r>
      <w:r w:rsidRPr="00FE7D2E">
        <w:rPr>
          <w:rFonts w:cs="Arial"/>
          <w:b/>
          <w:bCs/>
          <w:color w:val="000000"/>
          <w:sz w:val="24"/>
          <w:szCs w:val="24"/>
        </w:rPr>
        <w:t>#</w:t>
      </w:r>
      <w:r w:rsidRPr="00FE7D2E">
        <w:rPr>
          <w:rFonts w:cs="Arial"/>
          <w:b/>
          <w:bCs/>
          <w:color w:val="000000"/>
          <w:sz w:val="24"/>
          <w:szCs w:val="24"/>
        </w:rPr>
        <w:t>3</w:t>
      </w:r>
      <w:r w:rsidRPr="00FE7D2E">
        <w:rPr>
          <w:rFonts w:cs="Arial"/>
          <w:color w:val="000000"/>
          <w:sz w:val="24"/>
          <w:szCs w:val="24"/>
        </w:rPr>
        <w:t xml:space="preserve">, </w:t>
      </w:r>
      <w:r w:rsidRPr="00FE7D2E">
        <w:rPr>
          <w:rFonts w:cs="Arial"/>
          <w:color w:val="000000"/>
          <w:sz w:val="24"/>
          <w:szCs w:val="24"/>
        </w:rPr>
        <w:t xml:space="preserve">the preamble should include the fact that </w:t>
      </w:r>
      <w:r w:rsidRPr="00FE7D2E">
        <w:rPr>
          <w:rFonts w:cs="Arial"/>
          <w:color w:val="000000"/>
          <w:sz w:val="24"/>
          <w:szCs w:val="24"/>
        </w:rPr>
        <w:t xml:space="preserve">a higher weight person has the right to choose an appropriate yet potentially less effective treatment, </w:t>
      </w:r>
      <w:r w:rsidR="005D5F00" w:rsidRPr="00FE7D2E">
        <w:rPr>
          <w:rFonts w:cs="Arial"/>
          <w:color w:val="000000"/>
          <w:sz w:val="24"/>
          <w:szCs w:val="24"/>
        </w:rPr>
        <w:t xml:space="preserve">rather than be </w:t>
      </w:r>
      <w:r w:rsidR="00956CE3" w:rsidRPr="00FE7D2E">
        <w:rPr>
          <w:rFonts w:cs="Arial"/>
          <w:color w:val="000000"/>
          <w:sz w:val="24"/>
          <w:szCs w:val="24"/>
        </w:rPr>
        <w:t>outright denied treatment</w:t>
      </w:r>
      <w:r w:rsidR="00F2037C">
        <w:rPr>
          <w:rFonts w:cs="Arial"/>
          <w:color w:val="000000"/>
          <w:sz w:val="24"/>
          <w:szCs w:val="24"/>
        </w:rPr>
        <w:t>,</w:t>
      </w:r>
      <w:r w:rsidR="00956CE3" w:rsidRPr="00FE7D2E">
        <w:rPr>
          <w:rFonts w:cs="Arial"/>
          <w:color w:val="000000"/>
          <w:sz w:val="24"/>
          <w:szCs w:val="24"/>
        </w:rPr>
        <w:t xml:space="preserve"> or </w:t>
      </w:r>
      <w:r w:rsidR="005D5F00" w:rsidRPr="00FE7D2E">
        <w:rPr>
          <w:rFonts w:cs="Arial"/>
          <w:color w:val="000000"/>
          <w:sz w:val="24"/>
          <w:szCs w:val="24"/>
        </w:rPr>
        <w:t xml:space="preserve">forced to undergo a delay </w:t>
      </w:r>
      <w:r w:rsidR="00712509" w:rsidRPr="00FE7D2E">
        <w:rPr>
          <w:rFonts w:cs="Arial"/>
          <w:color w:val="000000"/>
          <w:sz w:val="24"/>
          <w:szCs w:val="24"/>
        </w:rPr>
        <w:t xml:space="preserve">in treatment to undergo treatment </w:t>
      </w:r>
      <w:r w:rsidRPr="00FE7D2E">
        <w:rPr>
          <w:rFonts w:cs="Arial"/>
          <w:color w:val="000000"/>
          <w:sz w:val="24"/>
          <w:szCs w:val="24"/>
        </w:rPr>
        <w:t xml:space="preserve">“optimization” </w:t>
      </w:r>
      <w:r w:rsidR="00956CE3" w:rsidRPr="00FE7D2E">
        <w:rPr>
          <w:rFonts w:cs="Arial"/>
          <w:color w:val="000000"/>
          <w:sz w:val="24"/>
          <w:szCs w:val="24"/>
        </w:rPr>
        <w:t xml:space="preserve">through </w:t>
      </w:r>
      <w:r w:rsidRPr="00FE7D2E">
        <w:rPr>
          <w:rFonts w:cs="Arial"/>
          <w:color w:val="000000"/>
          <w:sz w:val="24"/>
          <w:szCs w:val="24"/>
        </w:rPr>
        <w:t>weight</w:t>
      </w:r>
      <w:r w:rsidR="00956CE3" w:rsidRPr="00FE7D2E">
        <w:rPr>
          <w:rFonts w:cs="Arial"/>
          <w:color w:val="000000"/>
          <w:sz w:val="24"/>
          <w:szCs w:val="24"/>
        </w:rPr>
        <w:t xml:space="preserve"> </w:t>
      </w:r>
      <w:r w:rsidRPr="00FE7D2E">
        <w:rPr>
          <w:rFonts w:cs="Arial"/>
          <w:color w:val="000000"/>
          <w:sz w:val="24"/>
          <w:szCs w:val="24"/>
        </w:rPr>
        <w:t xml:space="preserve">loss </w:t>
      </w:r>
      <w:r w:rsidR="00956CE3" w:rsidRPr="00FE7D2E">
        <w:rPr>
          <w:rFonts w:cs="Arial"/>
          <w:color w:val="000000"/>
          <w:sz w:val="24"/>
          <w:szCs w:val="24"/>
        </w:rPr>
        <w:t xml:space="preserve">attempts which are often not successful for </w:t>
      </w:r>
      <w:r w:rsidRPr="00FE7D2E">
        <w:rPr>
          <w:rFonts w:cs="Arial"/>
          <w:color w:val="000000"/>
          <w:sz w:val="24"/>
          <w:szCs w:val="24"/>
        </w:rPr>
        <w:t>the average person</w:t>
      </w:r>
      <w:r w:rsidR="00956CE3" w:rsidRPr="00FE7D2E">
        <w:rPr>
          <w:rFonts w:cs="Arial"/>
          <w:color w:val="000000"/>
          <w:sz w:val="24"/>
          <w:szCs w:val="24"/>
        </w:rPr>
        <w:t>.</w:t>
      </w:r>
    </w:p>
    <w:p w14:paraId="481C6021" w14:textId="44294D84" w:rsidR="00956CE3" w:rsidRPr="00FE7D2E" w:rsidRDefault="00EC487C" w:rsidP="00FE7D2E">
      <w:pPr>
        <w:pStyle w:val="ListParagraph"/>
        <w:numPr>
          <w:ilvl w:val="0"/>
          <w:numId w:val="10"/>
        </w:numPr>
        <w:rPr>
          <w:rFonts w:cs="Arial"/>
          <w:sz w:val="24"/>
          <w:szCs w:val="24"/>
        </w:rPr>
      </w:pPr>
      <w:r w:rsidRPr="00FE7D2E">
        <w:rPr>
          <w:rFonts w:cs="Arial"/>
          <w:sz w:val="24"/>
          <w:szCs w:val="24"/>
        </w:rPr>
        <w:t>Just as the CCD recommend</w:t>
      </w:r>
      <w:r w:rsidR="00C20374" w:rsidRPr="00FE7D2E">
        <w:rPr>
          <w:rFonts w:cs="Arial"/>
          <w:sz w:val="24"/>
          <w:szCs w:val="24"/>
        </w:rPr>
        <w:t>s that HHS work with the Ac</w:t>
      </w:r>
      <w:r w:rsidR="00F873F4" w:rsidRPr="00FE7D2E">
        <w:rPr>
          <w:rFonts w:cs="Arial"/>
          <w:sz w:val="24"/>
          <w:szCs w:val="24"/>
        </w:rPr>
        <w:t>c</w:t>
      </w:r>
      <w:r w:rsidR="00C20374" w:rsidRPr="00FE7D2E">
        <w:rPr>
          <w:rFonts w:cs="Arial"/>
          <w:sz w:val="24"/>
          <w:szCs w:val="24"/>
        </w:rPr>
        <w:t>ess</w:t>
      </w:r>
      <w:r w:rsidR="00F873F4" w:rsidRPr="00FE7D2E">
        <w:rPr>
          <w:rFonts w:cs="Arial"/>
          <w:sz w:val="24"/>
          <w:szCs w:val="24"/>
        </w:rPr>
        <w:t xml:space="preserve"> Board to develop accessible standards for </w:t>
      </w:r>
      <w:r w:rsidR="006D69BA" w:rsidRPr="00FE7D2E">
        <w:rPr>
          <w:rFonts w:cs="Arial"/>
          <w:sz w:val="24"/>
          <w:szCs w:val="24"/>
        </w:rPr>
        <w:t>medical</w:t>
      </w:r>
      <w:r w:rsidR="00E1685F" w:rsidRPr="00FE7D2E">
        <w:rPr>
          <w:rFonts w:cs="Arial"/>
          <w:sz w:val="24"/>
          <w:szCs w:val="24"/>
        </w:rPr>
        <w:t xml:space="preserve"> equipment of all kinds for people with non-mobility disabilities, including equipment designed for use at home,</w:t>
      </w:r>
      <w:r w:rsidR="001F5061" w:rsidRPr="00FE7D2E">
        <w:rPr>
          <w:rFonts w:cs="Arial"/>
          <w:sz w:val="24"/>
          <w:szCs w:val="24"/>
        </w:rPr>
        <w:t xml:space="preserve"> HHS’s work in this regard must encompass ongoing gaps in the Access Board</w:t>
      </w:r>
      <w:r w:rsidR="00D769AE" w:rsidRPr="00FE7D2E">
        <w:rPr>
          <w:rFonts w:cs="Arial"/>
          <w:sz w:val="24"/>
          <w:szCs w:val="24"/>
        </w:rPr>
        <w:t xml:space="preserve">’s MDE standards that are not fully inclusive of the needs of people of all sizes, including higher weight persons. </w:t>
      </w:r>
      <w:r w:rsidR="003742BA" w:rsidRPr="00FE7D2E">
        <w:rPr>
          <w:rFonts w:cs="Arial"/>
          <w:sz w:val="24"/>
          <w:szCs w:val="24"/>
        </w:rPr>
        <w:t xml:space="preserve">In this recommendation, across all groups of disabled people, we strongly recommend </w:t>
      </w:r>
      <w:r w:rsidR="00141A5F" w:rsidRPr="00FE7D2E">
        <w:rPr>
          <w:rFonts w:cs="Arial"/>
          <w:sz w:val="24"/>
          <w:szCs w:val="24"/>
        </w:rPr>
        <w:t>the Access Board’s use of a full stakeholder process that includes representatives from the higher weight community, the blind community, and other</w:t>
      </w:r>
      <w:r w:rsidR="00581BBF" w:rsidRPr="00FE7D2E">
        <w:rPr>
          <w:rFonts w:cs="Arial"/>
          <w:sz w:val="24"/>
          <w:szCs w:val="24"/>
        </w:rPr>
        <w:t>s who best understand both the ongoing barriers they encounter and the best means of overcoming those barriers and discriminatory attitudes.</w:t>
      </w:r>
    </w:p>
    <w:p w14:paraId="4C439DD2" w14:textId="77777777" w:rsidR="00A40FE9" w:rsidRPr="00FE7D2E" w:rsidRDefault="00A40FE9" w:rsidP="00FE7D2E">
      <w:pPr>
        <w:rPr>
          <w:rFonts w:cs="Arial"/>
          <w:sz w:val="24"/>
          <w:szCs w:val="24"/>
        </w:rPr>
      </w:pPr>
    </w:p>
    <w:p w14:paraId="163C67CC" w14:textId="77777777" w:rsidR="00581BBF" w:rsidRPr="00FE7D2E" w:rsidRDefault="00581BBF" w:rsidP="00FE7D2E">
      <w:pPr>
        <w:rPr>
          <w:rFonts w:cs="Arial"/>
          <w:sz w:val="24"/>
          <w:szCs w:val="24"/>
        </w:rPr>
      </w:pPr>
    </w:p>
    <w:p w14:paraId="279C2344" w14:textId="4C3860B6" w:rsidR="00A40FE9" w:rsidRPr="00FE7D2E" w:rsidRDefault="00EC57B9" w:rsidP="00FE7D2E">
      <w:pPr>
        <w:rPr>
          <w:rFonts w:cs="Arial"/>
          <w:i/>
          <w:iCs/>
          <w:sz w:val="24"/>
          <w:szCs w:val="24"/>
          <w:u w:val="single"/>
        </w:rPr>
      </w:pPr>
      <w:r w:rsidRPr="00FE7D2E">
        <w:rPr>
          <w:rFonts w:cs="Arial"/>
          <w:i/>
          <w:iCs/>
          <w:sz w:val="24"/>
          <w:szCs w:val="24"/>
          <w:u w:val="single"/>
        </w:rPr>
        <w:t>C</w:t>
      </w:r>
      <w:r w:rsidR="00522EA1" w:rsidRPr="00FE7D2E">
        <w:rPr>
          <w:rFonts w:cs="Arial"/>
          <w:i/>
          <w:iCs/>
          <w:sz w:val="24"/>
          <w:szCs w:val="24"/>
          <w:u w:val="single"/>
        </w:rPr>
        <w:t xml:space="preserve">hemical and </w:t>
      </w:r>
      <w:r w:rsidRPr="00FE7D2E">
        <w:rPr>
          <w:rFonts w:cs="Arial"/>
          <w:i/>
          <w:iCs/>
          <w:sz w:val="24"/>
          <w:szCs w:val="24"/>
          <w:u w:val="single"/>
        </w:rPr>
        <w:t>E</w:t>
      </w:r>
      <w:r w:rsidR="00522EA1" w:rsidRPr="00FE7D2E">
        <w:rPr>
          <w:rFonts w:cs="Arial"/>
          <w:i/>
          <w:iCs/>
          <w:sz w:val="24"/>
          <w:szCs w:val="24"/>
          <w:u w:val="single"/>
        </w:rPr>
        <w:t xml:space="preserve">lectromagnetic </w:t>
      </w:r>
      <w:r w:rsidRPr="00FE7D2E">
        <w:rPr>
          <w:rFonts w:cs="Arial"/>
          <w:i/>
          <w:iCs/>
          <w:sz w:val="24"/>
          <w:szCs w:val="24"/>
          <w:u w:val="single"/>
        </w:rPr>
        <w:t>H</w:t>
      </w:r>
      <w:r w:rsidR="00522EA1" w:rsidRPr="00FE7D2E">
        <w:rPr>
          <w:rFonts w:cs="Arial"/>
          <w:i/>
          <w:iCs/>
          <w:sz w:val="24"/>
          <w:szCs w:val="24"/>
          <w:u w:val="single"/>
        </w:rPr>
        <w:t>ypersensitivities</w:t>
      </w:r>
    </w:p>
    <w:p w14:paraId="03B334FE" w14:textId="77777777" w:rsidR="00EC57B9" w:rsidRPr="00FE7D2E" w:rsidRDefault="00EC57B9" w:rsidP="00FE7D2E">
      <w:pPr>
        <w:rPr>
          <w:rFonts w:cs="Arial"/>
          <w:sz w:val="24"/>
          <w:szCs w:val="24"/>
        </w:rPr>
      </w:pPr>
    </w:p>
    <w:p w14:paraId="1497D51E" w14:textId="7494E8B8" w:rsidR="00EC57B9" w:rsidRPr="00FE7D2E" w:rsidRDefault="00771922" w:rsidP="00FE7D2E">
      <w:pPr>
        <w:rPr>
          <w:rFonts w:cs="Arial"/>
          <w:sz w:val="24"/>
          <w:szCs w:val="24"/>
        </w:rPr>
      </w:pPr>
      <w:r w:rsidRPr="00FE7D2E">
        <w:rPr>
          <w:rFonts w:cs="Arial"/>
          <w:sz w:val="24"/>
          <w:szCs w:val="24"/>
        </w:rPr>
        <w:t>The proposed rule does not mention individuals with chemical and electromagnetic hypersensitivities</w:t>
      </w:r>
      <w:r w:rsidR="00AF762E" w:rsidRPr="00FE7D2E">
        <w:rPr>
          <w:rFonts w:cs="Arial"/>
          <w:sz w:val="24"/>
          <w:szCs w:val="24"/>
        </w:rPr>
        <w:t>, but their access to healthcare for the most common conditions from a toothache</w:t>
      </w:r>
      <w:r w:rsidR="00DB71D3" w:rsidRPr="00FE7D2E">
        <w:rPr>
          <w:rFonts w:cs="Arial"/>
          <w:sz w:val="24"/>
          <w:szCs w:val="24"/>
        </w:rPr>
        <w:t xml:space="preserve"> to setting an injured limb to receiving treatment for COVID-19 can be extremely curtailed by their disability</w:t>
      </w:r>
      <w:r w:rsidR="00134AF2" w:rsidRPr="00FE7D2E">
        <w:rPr>
          <w:rFonts w:cs="Arial"/>
          <w:sz w:val="24"/>
          <w:szCs w:val="24"/>
        </w:rPr>
        <w:t xml:space="preserve">, even when their disability is accompanied by clear comorbidities </w:t>
      </w:r>
      <w:r w:rsidR="00134AF2" w:rsidRPr="00FE7D2E">
        <w:rPr>
          <w:rFonts w:cs="Arial"/>
          <w:sz w:val="24"/>
          <w:szCs w:val="24"/>
        </w:rPr>
        <w:lastRenderedPageBreak/>
        <w:t xml:space="preserve">such as a seizure disorder or other neurological </w:t>
      </w:r>
      <w:r w:rsidR="00472ED2" w:rsidRPr="00FE7D2E">
        <w:rPr>
          <w:rFonts w:cs="Arial"/>
          <w:sz w:val="24"/>
          <w:szCs w:val="24"/>
        </w:rPr>
        <w:t xml:space="preserve">responses triggered by exposure to environmental toxins and </w:t>
      </w:r>
      <w:r w:rsidR="00093790" w:rsidRPr="00FE7D2E">
        <w:rPr>
          <w:rFonts w:cs="Arial"/>
          <w:sz w:val="24"/>
          <w:szCs w:val="24"/>
        </w:rPr>
        <w:t xml:space="preserve">conditions. </w:t>
      </w:r>
      <w:r w:rsidR="009B2C8F" w:rsidRPr="00FE7D2E">
        <w:rPr>
          <w:rFonts w:cs="Arial"/>
          <w:sz w:val="24"/>
          <w:szCs w:val="24"/>
        </w:rPr>
        <w:t xml:space="preserve">Straightforward requests for accommodation such as waiting outside for an appointment to minimize exposure to </w:t>
      </w:r>
      <w:r w:rsidR="006447E5" w:rsidRPr="00FE7D2E">
        <w:rPr>
          <w:rFonts w:cs="Arial"/>
          <w:sz w:val="24"/>
          <w:szCs w:val="24"/>
        </w:rPr>
        <w:t>interior fragrances and WiFI</w:t>
      </w:r>
      <w:r w:rsidR="009D7732" w:rsidRPr="00FE7D2E">
        <w:rPr>
          <w:rFonts w:cs="Arial"/>
          <w:sz w:val="24"/>
          <w:szCs w:val="24"/>
        </w:rPr>
        <w:t xml:space="preserve"> are commonly denied, much less accommodations that are a little more involved but nonetheless </w:t>
      </w:r>
      <w:r w:rsidR="00D3156D" w:rsidRPr="00FE7D2E">
        <w:rPr>
          <w:rFonts w:cs="Arial"/>
          <w:sz w:val="24"/>
          <w:szCs w:val="24"/>
        </w:rPr>
        <w:t>very possible</w:t>
      </w:r>
      <w:r w:rsidR="006A33F2" w:rsidRPr="00FE7D2E">
        <w:rPr>
          <w:rFonts w:cs="Arial"/>
          <w:sz w:val="24"/>
          <w:szCs w:val="24"/>
        </w:rPr>
        <w:t xml:space="preserve"> such as cleaning one exam room without harsh chemicals or scents for an early morning appointment</w:t>
      </w:r>
      <w:r w:rsidR="003C45E8" w:rsidRPr="00FE7D2E">
        <w:rPr>
          <w:rFonts w:cs="Arial"/>
          <w:sz w:val="24"/>
          <w:szCs w:val="24"/>
        </w:rPr>
        <w:t xml:space="preserve"> and temporarily unplugging air fresheners. In addition, </w:t>
      </w:r>
      <w:r w:rsidR="000E2E2A" w:rsidRPr="00FE7D2E">
        <w:rPr>
          <w:rFonts w:cs="Arial"/>
          <w:sz w:val="24"/>
          <w:szCs w:val="24"/>
        </w:rPr>
        <w:t xml:space="preserve">metal shielding that would from electromagnetic fields that accompany needed durable medical equipment such as electric wheelchairs or scooters could be made available for purchase or rental. DREDF recommends that </w:t>
      </w:r>
      <w:r w:rsidR="002A0667" w:rsidRPr="00FE7D2E">
        <w:rPr>
          <w:rFonts w:cs="Arial"/>
          <w:sz w:val="24"/>
          <w:szCs w:val="24"/>
        </w:rPr>
        <w:t>HHS and the Access Board</w:t>
      </w:r>
      <w:r w:rsidR="007D252C" w:rsidRPr="00FE7D2E">
        <w:rPr>
          <w:rFonts w:cs="Arial"/>
          <w:sz w:val="24"/>
          <w:szCs w:val="24"/>
        </w:rPr>
        <w:t xml:space="preserve"> engage with </w:t>
      </w:r>
      <w:r w:rsidR="002A0667" w:rsidRPr="00FE7D2E">
        <w:rPr>
          <w:rFonts w:cs="Arial"/>
          <w:sz w:val="24"/>
          <w:szCs w:val="24"/>
        </w:rPr>
        <w:t xml:space="preserve">people with chemical and electromagnetic </w:t>
      </w:r>
      <w:r w:rsidR="007D252C" w:rsidRPr="00FE7D2E">
        <w:rPr>
          <w:rFonts w:cs="Arial"/>
          <w:sz w:val="24"/>
          <w:szCs w:val="24"/>
        </w:rPr>
        <w:t xml:space="preserve">sensitivities to understand </w:t>
      </w:r>
      <w:r w:rsidR="0003563F" w:rsidRPr="00FE7D2E">
        <w:rPr>
          <w:rFonts w:cs="Arial"/>
          <w:sz w:val="24"/>
          <w:szCs w:val="24"/>
        </w:rPr>
        <w:t xml:space="preserve">their healthcare </w:t>
      </w:r>
      <w:r w:rsidR="0003563F" w:rsidRPr="00FE7D2E">
        <w:rPr>
          <w:rFonts w:cs="Arial"/>
          <w:sz w:val="24"/>
          <w:szCs w:val="24"/>
        </w:rPr>
        <w:t xml:space="preserve">needs and </w:t>
      </w:r>
      <w:r w:rsidR="0003563F" w:rsidRPr="00FE7D2E">
        <w:rPr>
          <w:rFonts w:cs="Arial"/>
          <w:sz w:val="24"/>
          <w:szCs w:val="24"/>
        </w:rPr>
        <w:t xml:space="preserve">the </w:t>
      </w:r>
      <w:r w:rsidR="0003563F" w:rsidRPr="00FE7D2E">
        <w:rPr>
          <w:rFonts w:cs="Arial"/>
          <w:sz w:val="24"/>
          <w:szCs w:val="24"/>
        </w:rPr>
        <w:t xml:space="preserve">barriers to healthcare that </w:t>
      </w:r>
      <w:r w:rsidR="0003563F" w:rsidRPr="00FE7D2E">
        <w:rPr>
          <w:rFonts w:cs="Arial"/>
          <w:sz w:val="24"/>
          <w:szCs w:val="24"/>
        </w:rPr>
        <w:t xml:space="preserve">they </w:t>
      </w:r>
      <w:r w:rsidR="00790D7A" w:rsidRPr="00FE7D2E">
        <w:rPr>
          <w:rFonts w:cs="Arial"/>
          <w:sz w:val="24"/>
          <w:szCs w:val="24"/>
        </w:rPr>
        <w:t>endure and</w:t>
      </w:r>
      <w:r w:rsidR="00FE0878" w:rsidRPr="00FE7D2E">
        <w:rPr>
          <w:rFonts w:cs="Arial"/>
          <w:sz w:val="24"/>
          <w:szCs w:val="24"/>
        </w:rPr>
        <w:t xml:space="preserve"> make it clear that </w:t>
      </w:r>
      <w:r w:rsidR="002E27F4" w:rsidRPr="00FE7D2E">
        <w:rPr>
          <w:rFonts w:cs="Arial"/>
          <w:sz w:val="24"/>
          <w:szCs w:val="24"/>
        </w:rPr>
        <w:t xml:space="preserve">when </w:t>
      </w:r>
      <w:r w:rsidR="00FE0878" w:rsidRPr="00FE7D2E">
        <w:rPr>
          <w:rFonts w:cs="Arial"/>
          <w:sz w:val="24"/>
          <w:szCs w:val="24"/>
        </w:rPr>
        <w:t xml:space="preserve">such </w:t>
      </w:r>
      <w:r w:rsidR="00837073" w:rsidRPr="00FE7D2E">
        <w:rPr>
          <w:rFonts w:cs="Arial"/>
          <w:sz w:val="24"/>
          <w:szCs w:val="24"/>
        </w:rPr>
        <w:t>hyper</w:t>
      </w:r>
      <w:r w:rsidR="00FE0878" w:rsidRPr="00FE7D2E">
        <w:rPr>
          <w:rFonts w:cs="Arial"/>
          <w:sz w:val="24"/>
          <w:szCs w:val="24"/>
        </w:rPr>
        <w:t xml:space="preserve">sensitivities </w:t>
      </w:r>
      <w:r w:rsidR="00837073" w:rsidRPr="00FE7D2E">
        <w:rPr>
          <w:rFonts w:cs="Arial"/>
          <w:sz w:val="24"/>
          <w:szCs w:val="24"/>
        </w:rPr>
        <w:t>arise to the level of a disability</w:t>
      </w:r>
      <w:r w:rsidR="002E27F4" w:rsidRPr="00FE7D2E">
        <w:rPr>
          <w:rFonts w:cs="Arial"/>
          <w:sz w:val="24"/>
          <w:szCs w:val="24"/>
        </w:rPr>
        <w:t xml:space="preserve">, healthcare providers must provide reasonable accommodations and </w:t>
      </w:r>
      <w:r w:rsidR="008C64DF" w:rsidRPr="00FE7D2E">
        <w:rPr>
          <w:rFonts w:cs="Arial"/>
          <w:sz w:val="24"/>
          <w:szCs w:val="24"/>
        </w:rPr>
        <w:t>policy modifications.</w:t>
      </w:r>
    </w:p>
    <w:p w14:paraId="5CCADFAA" w14:textId="77777777" w:rsidR="00DB71D3" w:rsidRPr="00FE7D2E" w:rsidRDefault="00DB71D3" w:rsidP="00FE7D2E">
      <w:pPr>
        <w:rPr>
          <w:rFonts w:cs="Arial"/>
          <w:sz w:val="24"/>
          <w:szCs w:val="24"/>
        </w:rPr>
      </w:pPr>
    </w:p>
    <w:p w14:paraId="441A4C4F" w14:textId="77777777" w:rsidR="00B77AC1" w:rsidRPr="00FE7D2E" w:rsidRDefault="00B77AC1" w:rsidP="00FE7D2E">
      <w:pPr>
        <w:rPr>
          <w:rFonts w:cs="Arial"/>
          <w:sz w:val="24"/>
          <w:szCs w:val="24"/>
        </w:rPr>
      </w:pPr>
    </w:p>
    <w:p w14:paraId="00BAC7A0" w14:textId="7541E073" w:rsidR="009D40DE" w:rsidRPr="00FE7D2E" w:rsidRDefault="00CE34E2" w:rsidP="00FE7D2E">
      <w:pPr>
        <w:autoSpaceDE w:val="0"/>
        <w:autoSpaceDN w:val="0"/>
        <w:adjustRightInd w:val="0"/>
        <w:rPr>
          <w:rFonts w:eastAsiaTheme="minorHAnsi" w:cs="Arial"/>
          <w:b/>
          <w:bCs/>
          <w:sz w:val="24"/>
          <w:szCs w:val="24"/>
        </w:rPr>
      </w:pPr>
      <w:r w:rsidRPr="00FE7D2E">
        <w:rPr>
          <w:rFonts w:eastAsiaTheme="minorHAnsi" w:cs="Arial"/>
          <w:b/>
          <w:bCs/>
          <w:sz w:val="24"/>
          <w:szCs w:val="24"/>
        </w:rPr>
        <w:t>Subpart C—Program Accessibility</w:t>
      </w:r>
    </w:p>
    <w:p w14:paraId="1237F367" w14:textId="77777777" w:rsidR="00DA5074" w:rsidRPr="00FE7D2E" w:rsidRDefault="00DA5074" w:rsidP="00FE7D2E">
      <w:pPr>
        <w:autoSpaceDE w:val="0"/>
        <w:autoSpaceDN w:val="0"/>
        <w:adjustRightInd w:val="0"/>
        <w:rPr>
          <w:rFonts w:eastAsiaTheme="minorHAnsi" w:cs="Arial"/>
          <w:b/>
          <w:bCs/>
          <w:sz w:val="24"/>
          <w:szCs w:val="24"/>
        </w:rPr>
      </w:pPr>
      <w:r w:rsidRPr="00FE7D2E">
        <w:rPr>
          <w:rFonts w:eastAsiaTheme="minorHAnsi" w:cs="Arial"/>
          <w:b/>
          <w:bCs/>
          <w:sz w:val="24"/>
          <w:szCs w:val="24"/>
        </w:rPr>
        <w:t>§ 84.22 Existing facilities.</w:t>
      </w:r>
    </w:p>
    <w:p w14:paraId="5A8EEC4A" w14:textId="77777777" w:rsidR="008C64DF" w:rsidRPr="00FE7D2E" w:rsidRDefault="008C64DF" w:rsidP="00FE7D2E">
      <w:pPr>
        <w:autoSpaceDE w:val="0"/>
        <w:autoSpaceDN w:val="0"/>
        <w:adjustRightInd w:val="0"/>
        <w:rPr>
          <w:rFonts w:eastAsiaTheme="minorHAnsi" w:cs="Arial"/>
          <w:sz w:val="24"/>
          <w:szCs w:val="24"/>
        </w:rPr>
      </w:pPr>
    </w:p>
    <w:p w14:paraId="2420B648" w14:textId="3E22DD41" w:rsidR="00DA5074" w:rsidRPr="00FE7D2E" w:rsidRDefault="00DA5074" w:rsidP="00FE7D2E">
      <w:pPr>
        <w:autoSpaceDE w:val="0"/>
        <w:autoSpaceDN w:val="0"/>
        <w:adjustRightInd w:val="0"/>
        <w:ind w:left="720"/>
        <w:rPr>
          <w:rFonts w:eastAsiaTheme="minorHAnsi" w:cs="Arial"/>
          <w:sz w:val="24"/>
          <w:szCs w:val="24"/>
        </w:rPr>
      </w:pPr>
      <w:r w:rsidRPr="00FE7D2E">
        <w:rPr>
          <w:rFonts w:eastAsiaTheme="minorHAnsi" w:cs="Arial"/>
          <w:sz w:val="24"/>
          <w:szCs w:val="24"/>
        </w:rPr>
        <w:t>(a) General. A recipient shall operate</w:t>
      </w:r>
      <w:r w:rsidRPr="00FE7D2E">
        <w:rPr>
          <w:rFonts w:eastAsiaTheme="minorHAnsi" w:cs="Arial"/>
          <w:sz w:val="24"/>
          <w:szCs w:val="24"/>
        </w:rPr>
        <w:t xml:space="preserve"> </w:t>
      </w:r>
      <w:r w:rsidRPr="00FE7D2E">
        <w:rPr>
          <w:rFonts w:eastAsiaTheme="minorHAnsi" w:cs="Arial"/>
          <w:sz w:val="24"/>
          <w:szCs w:val="24"/>
        </w:rPr>
        <w:t>each program or activity so that the</w:t>
      </w:r>
      <w:r w:rsidRPr="00FE7D2E">
        <w:rPr>
          <w:rFonts w:eastAsiaTheme="minorHAnsi" w:cs="Arial"/>
          <w:sz w:val="24"/>
          <w:szCs w:val="24"/>
        </w:rPr>
        <w:t xml:space="preserve"> </w:t>
      </w:r>
      <w:r w:rsidRPr="00FE7D2E">
        <w:rPr>
          <w:rFonts w:eastAsiaTheme="minorHAnsi" w:cs="Arial"/>
          <w:sz w:val="24"/>
          <w:szCs w:val="24"/>
        </w:rPr>
        <w:t>program or activity, when viewed in its</w:t>
      </w:r>
      <w:r w:rsidRPr="00FE7D2E">
        <w:rPr>
          <w:rFonts w:eastAsiaTheme="minorHAnsi" w:cs="Arial"/>
          <w:sz w:val="24"/>
          <w:szCs w:val="24"/>
        </w:rPr>
        <w:t xml:space="preserve"> </w:t>
      </w:r>
      <w:r w:rsidRPr="00FE7D2E">
        <w:rPr>
          <w:rFonts w:eastAsiaTheme="minorHAnsi" w:cs="Arial"/>
          <w:sz w:val="24"/>
          <w:szCs w:val="24"/>
        </w:rPr>
        <w:t>entirety, is readily accessible to and</w:t>
      </w:r>
      <w:r w:rsidRPr="00FE7D2E">
        <w:rPr>
          <w:rFonts w:eastAsiaTheme="minorHAnsi" w:cs="Arial"/>
          <w:sz w:val="24"/>
          <w:szCs w:val="24"/>
        </w:rPr>
        <w:t xml:space="preserve"> </w:t>
      </w:r>
      <w:r w:rsidRPr="00FE7D2E">
        <w:rPr>
          <w:rFonts w:eastAsiaTheme="minorHAnsi" w:cs="Arial"/>
          <w:sz w:val="24"/>
          <w:szCs w:val="24"/>
        </w:rPr>
        <w:t>usable by individuals with disabilities.</w:t>
      </w:r>
    </w:p>
    <w:p w14:paraId="15FDAEE4" w14:textId="77777777" w:rsidR="00DA5074" w:rsidRPr="00FE7D2E" w:rsidRDefault="00DA5074" w:rsidP="00FE7D2E">
      <w:pPr>
        <w:autoSpaceDE w:val="0"/>
        <w:autoSpaceDN w:val="0"/>
        <w:adjustRightInd w:val="0"/>
        <w:ind w:left="720"/>
        <w:rPr>
          <w:rFonts w:eastAsiaTheme="minorHAnsi" w:cs="Arial"/>
          <w:sz w:val="24"/>
          <w:szCs w:val="24"/>
        </w:rPr>
      </w:pPr>
      <w:r w:rsidRPr="00FE7D2E">
        <w:rPr>
          <w:rFonts w:eastAsiaTheme="minorHAnsi" w:cs="Arial"/>
          <w:sz w:val="24"/>
          <w:szCs w:val="24"/>
        </w:rPr>
        <w:t>This paragraph does not—</w:t>
      </w:r>
    </w:p>
    <w:p w14:paraId="634BDE35" w14:textId="616A6CF4" w:rsidR="008C65C6" w:rsidRPr="00FE7D2E" w:rsidRDefault="00DA5074" w:rsidP="00FE7D2E">
      <w:pPr>
        <w:autoSpaceDE w:val="0"/>
        <w:autoSpaceDN w:val="0"/>
        <w:adjustRightInd w:val="0"/>
        <w:ind w:left="720"/>
        <w:rPr>
          <w:rFonts w:eastAsiaTheme="minorHAnsi" w:cs="Arial"/>
          <w:sz w:val="24"/>
          <w:szCs w:val="24"/>
        </w:rPr>
      </w:pPr>
      <w:r w:rsidRPr="00FE7D2E">
        <w:rPr>
          <w:rFonts w:eastAsiaTheme="minorHAnsi" w:cs="Arial"/>
          <w:sz w:val="24"/>
          <w:szCs w:val="24"/>
        </w:rPr>
        <w:t>(1) Necessarily require a recipient to</w:t>
      </w:r>
      <w:r w:rsidR="000F3333" w:rsidRPr="00FE7D2E">
        <w:rPr>
          <w:rFonts w:eastAsiaTheme="minorHAnsi" w:cs="Arial"/>
          <w:sz w:val="24"/>
          <w:szCs w:val="24"/>
        </w:rPr>
        <w:t xml:space="preserve"> </w:t>
      </w:r>
      <w:r w:rsidRPr="00FE7D2E">
        <w:rPr>
          <w:rFonts w:eastAsiaTheme="minorHAnsi" w:cs="Arial"/>
          <w:sz w:val="24"/>
          <w:szCs w:val="24"/>
        </w:rPr>
        <w:t>make each of its existing facilities</w:t>
      </w:r>
      <w:r w:rsidR="000F3333" w:rsidRPr="00FE7D2E">
        <w:rPr>
          <w:rFonts w:eastAsiaTheme="minorHAnsi" w:cs="Arial"/>
          <w:sz w:val="24"/>
          <w:szCs w:val="24"/>
        </w:rPr>
        <w:t xml:space="preserve"> </w:t>
      </w:r>
      <w:r w:rsidRPr="00FE7D2E">
        <w:rPr>
          <w:rFonts w:eastAsiaTheme="minorHAnsi" w:cs="Arial"/>
          <w:sz w:val="24"/>
          <w:szCs w:val="24"/>
        </w:rPr>
        <w:t>accessible to and usable by individuals</w:t>
      </w:r>
      <w:r w:rsidR="000F3333" w:rsidRPr="00FE7D2E">
        <w:rPr>
          <w:rFonts w:eastAsiaTheme="minorHAnsi" w:cs="Arial"/>
          <w:sz w:val="24"/>
          <w:szCs w:val="24"/>
        </w:rPr>
        <w:t xml:space="preserve"> </w:t>
      </w:r>
      <w:r w:rsidRPr="00FE7D2E">
        <w:rPr>
          <w:rFonts w:eastAsiaTheme="minorHAnsi" w:cs="Arial"/>
          <w:sz w:val="24"/>
          <w:szCs w:val="24"/>
        </w:rPr>
        <w:t>with disabilities;</w:t>
      </w:r>
    </w:p>
    <w:p w14:paraId="204946A2" w14:textId="77777777" w:rsidR="00DA5074" w:rsidRPr="00FE7D2E" w:rsidRDefault="00DA5074" w:rsidP="00FE7D2E">
      <w:pPr>
        <w:autoSpaceDE w:val="0"/>
        <w:autoSpaceDN w:val="0"/>
        <w:adjustRightInd w:val="0"/>
        <w:rPr>
          <w:rFonts w:eastAsiaTheme="minorHAnsi" w:cs="Arial"/>
          <w:sz w:val="24"/>
          <w:szCs w:val="24"/>
        </w:rPr>
      </w:pPr>
    </w:p>
    <w:p w14:paraId="15236CD8" w14:textId="581E484D" w:rsidR="00887699" w:rsidRPr="00FE7D2E" w:rsidRDefault="00887699" w:rsidP="00FE7D2E">
      <w:pPr>
        <w:autoSpaceDE w:val="0"/>
        <w:autoSpaceDN w:val="0"/>
        <w:adjustRightInd w:val="0"/>
        <w:rPr>
          <w:rFonts w:eastAsiaTheme="minorHAnsi" w:cs="Arial"/>
          <w:sz w:val="24"/>
          <w:szCs w:val="24"/>
        </w:rPr>
      </w:pPr>
      <w:r w:rsidRPr="00FE7D2E">
        <w:rPr>
          <w:rFonts w:eastAsiaTheme="minorHAnsi" w:cs="Arial"/>
          <w:sz w:val="24"/>
          <w:szCs w:val="24"/>
        </w:rPr>
        <w:t xml:space="preserve">DREDF </w:t>
      </w:r>
      <w:r w:rsidR="006E3BE2" w:rsidRPr="00FE7D2E">
        <w:rPr>
          <w:rFonts w:eastAsiaTheme="minorHAnsi" w:cs="Arial"/>
          <w:sz w:val="24"/>
          <w:szCs w:val="24"/>
        </w:rPr>
        <w:t xml:space="preserve">recommends against the </w:t>
      </w:r>
      <w:r w:rsidR="007523DA" w:rsidRPr="00FE7D2E">
        <w:rPr>
          <w:rFonts w:eastAsiaTheme="minorHAnsi" w:cs="Arial"/>
          <w:sz w:val="24"/>
          <w:szCs w:val="24"/>
        </w:rPr>
        <w:t>inclusion</w:t>
      </w:r>
      <w:r w:rsidR="006E3BE2" w:rsidRPr="00FE7D2E">
        <w:rPr>
          <w:rFonts w:eastAsiaTheme="minorHAnsi" w:cs="Arial"/>
          <w:sz w:val="24"/>
          <w:szCs w:val="24"/>
        </w:rPr>
        <w:t xml:space="preserve"> of the above </w:t>
      </w:r>
      <w:r w:rsidRPr="00FE7D2E">
        <w:rPr>
          <w:rFonts w:eastAsiaTheme="minorHAnsi" w:cs="Arial"/>
          <w:sz w:val="24"/>
          <w:szCs w:val="24"/>
        </w:rPr>
        <w:t>language from Title II of the ADA</w:t>
      </w:r>
      <w:r w:rsidR="006E3BE2" w:rsidRPr="00FE7D2E">
        <w:rPr>
          <w:rFonts w:eastAsiaTheme="minorHAnsi" w:cs="Arial"/>
          <w:sz w:val="24"/>
          <w:szCs w:val="24"/>
        </w:rPr>
        <w:t xml:space="preserve"> within </w:t>
      </w:r>
      <w:r w:rsidR="007523DA" w:rsidRPr="00FE7D2E">
        <w:rPr>
          <w:rFonts w:eastAsiaTheme="minorHAnsi" w:cs="Arial"/>
          <w:sz w:val="24"/>
          <w:szCs w:val="24"/>
        </w:rPr>
        <w:t xml:space="preserve">the Section 504 rule. The program accessibility requirement was designed with </w:t>
      </w:r>
      <w:r w:rsidR="0060041F" w:rsidRPr="00FE7D2E">
        <w:rPr>
          <w:rFonts w:eastAsiaTheme="minorHAnsi" w:cs="Arial"/>
          <w:sz w:val="24"/>
          <w:szCs w:val="24"/>
        </w:rPr>
        <w:t xml:space="preserve">state, county, and municipal services in mind, which often are housed in historic buildings </w:t>
      </w:r>
      <w:r w:rsidR="00800F23" w:rsidRPr="00FE7D2E">
        <w:rPr>
          <w:rFonts w:eastAsiaTheme="minorHAnsi" w:cs="Arial"/>
          <w:sz w:val="24"/>
          <w:szCs w:val="24"/>
        </w:rPr>
        <w:t xml:space="preserve">and are providing services that are basically fungible. At least two factors in the healthcare space </w:t>
      </w:r>
      <w:r w:rsidR="00BD3618" w:rsidRPr="00FE7D2E">
        <w:rPr>
          <w:rFonts w:eastAsiaTheme="minorHAnsi" w:cs="Arial"/>
          <w:sz w:val="24"/>
          <w:szCs w:val="24"/>
        </w:rPr>
        <w:t>differ markedly from the scenario envisioned in Title II of the ADA. First, the health</w:t>
      </w:r>
      <w:r w:rsidR="00A84D94" w:rsidRPr="00FE7D2E">
        <w:rPr>
          <w:rFonts w:eastAsiaTheme="minorHAnsi" w:cs="Arial"/>
          <w:sz w:val="24"/>
          <w:szCs w:val="24"/>
        </w:rPr>
        <w:t xml:space="preserve">care arena over the past two or three decades has been marked by a growing propensity to horizontal and vertical consolidation. </w:t>
      </w:r>
      <w:r w:rsidR="00E10BEE" w:rsidRPr="00FE7D2E">
        <w:rPr>
          <w:rFonts w:eastAsiaTheme="minorHAnsi" w:cs="Arial"/>
          <w:sz w:val="24"/>
          <w:szCs w:val="24"/>
        </w:rPr>
        <w:t xml:space="preserve">Hospitals merge, acquire smaller provider practices and specialty clinics, and are in turn acquired by larger regional and national healthcare entities. </w:t>
      </w:r>
      <w:r w:rsidR="00D63C10" w:rsidRPr="00FE7D2E">
        <w:rPr>
          <w:rFonts w:eastAsiaTheme="minorHAnsi" w:cs="Arial"/>
          <w:sz w:val="24"/>
          <w:szCs w:val="24"/>
        </w:rPr>
        <w:t xml:space="preserve">The result, as investigations show, have generally lead to </w:t>
      </w:r>
      <w:r w:rsidR="00D63C10" w:rsidRPr="00FE7D2E">
        <w:rPr>
          <w:rFonts w:eastAsiaTheme="minorHAnsi" w:cs="Arial"/>
          <w:i/>
          <w:iCs/>
          <w:sz w:val="24"/>
          <w:szCs w:val="24"/>
        </w:rPr>
        <w:t>higher</w:t>
      </w:r>
      <w:r w:rsidR="00D63C10" w:rsidRPr="00FE7D2E">
        <w:rPr>
          <w:rFonts w:eastAsiaTheme="minorHAnsi" w:cs="Arial"/>
          <w:sz w:val="24"/>
          <w:szCs w:val="24"/>
        </w:rPr>
        <w:t xml:space="preserve"> healthcare prices and no evidence of increased quality.</w:t>
      </w:r>
      <w:r w:rsidR="0002205D" w:rsidRPr="00FE7D2E">
        <w:rPr>
          <w:rStyle w:val="EndnoteReference"/>
          <w:rFonts w:eastAsiaTheme="minorHAnsi" w:cs="Arial"/>
          <w:sz w:val="24"/>
          <w:szCs w:val="24"/>
        </w:rPr>
        <w:endnoteReference w:id="3"/>
      </w:r>
      <w:r w:rsidR="00D63C10" w:rsidRPr="00FE7D2E">
        <w:rPr>
          <w:rFonts w:eastAsiaTheme="minorHAnsi" w:cs="Arial"/>
          <w:sz w:val="24"/>
          <w:szCs w:val="24"/>
        </w:rPr>
        <w:t xml:space="preserve"> </w:t>
      </w:r>
      <w:r w:rsidR="001A3234" w:rsidRPr="00FE7D2E">
        <w:rPr>
          <w:rFonts w:eastAsiaTheme="minorHAnsi" w:cs="Arial"/>
          <w:sz w:val="24"/>
          <w:szCs w:val="24"/>
        </w:rPr>
        <w:t xml:space="preserve">For people with disabilities, consolidation could theoretically lead to improved accessibility if, for example, </w:t>
      </w:r>
      <w:r w:rsidR="00ED55AD" w:rsidRPr="00FE7D2E">
        <w:rPr>
          <w:rFonts w:eastAsiaTheme="minorHAnsi" w:cs="Arial"/>
          <w:sz w:val="24"/>
          <w:szCs w:val="24"/>
        </w:rPr>
        <w:t xml:space="preserve">corporate entities use their buying power to </w:t>
      </w:r>
      <w:r w:rsidR="00C34C5C" w:rsidRPr="00FE7D2E">
        <w:rPr>
          <w:rFonts w:eastAsiaTheme="minorHAnsi" w:cs="Arial"/>
          <w:sz w:val="24"/>
          <w:szCs w:val="24"/>
        </w:rPr>
        <w:t xml:space="preserve">buy accessible medical equipment in larger quantities, give manufacturers greater reason to develop accessible medical equipment, and </w:t>
      </w:r>
      <w:r w:rsidR="00ED55AD" w:rsidRPr="00FE7D2E">
        <w:rPr>
          <w:rFonts w:eastAsiaTheme="minorHAnsi" w:cs="Arial"/>
          <w:sz w:val="24"/>
          <w:szCs w:val="24"/>
        </w:rPr>
        <w:t>assist small practices, espe</w:t>
      </w:r>
      <w:r w:rsidR="00C34C5C" w:rsidRPr="00FE7D2E">
        <w:rPr>
          <w:rFonts w:eastAsiaTheme="minorHAnsi" w:cs="Arial"/>
          <w:sz w:val="24"/>
          <w:szCs w:val="24"/>
        </w:rPr>
        <w:t xml:space="preserve">cially those that offer </w:t>
      </w:r>
      <w:r w:rsidR="007A0386" w:rsidRPr="00FE7D2E">
        <w:rPr>
          <w:rFonts w:eastAsiaTheme="minorHAnsi" w:cs="Arial"/>
          <w:sz w:val="24"/>
          <w:szCs w:val="24"/>
        </w:rPr>
        <w:t xml:space="preserve">LEP languages or that work with health disparity populations, to turnover medical equipment </w:t>
      </w:r>
      <w:r w:rsidR="007A0386" w:rsidRPr="00FE7D2E">
        <w:rPr>
          <w:rFonts w:eastAsiaTheme="minorHAnsi" w:cs="Arial"/>
          <w:sz w:val="24"/>
          <w:szCs w:val="24"/>
        </w:rPr>
        <w:lastRenderedPageBreak/>
        <w:t xml:space="preserve">and gain training in disability cultural competency. Unfortunately, </w:t>
      </w:r>
      <w:r w:rsidR="007F717A" w:rsidRPr="00FE7D2E">
        <w:rPr>
          <w:rFonts w:eastAsiaTheme="minorHAnsi" w:cs="Arial"/>
          <w:sz w:val="24"/>
          <w:szCs w:val="24"/>
        </w:rPr>
        <w:t xml:space="preserve">the application of the program accessibility concept to an industry that is consolidating and making record profits </w:t>
      </w:r>
      <w:r w:rsidR="00AB69FD" w:rsidRPr="00FE7D2E">
        <w:rPr>
          <w:rFonts w:eastAsiaTheme="minorHAnsi" w:cs="Arial"/>
          <w:sz w:val="24"/>
          <w:szCs w:val="24"/>
        </w:rPr>
        <w:t xml:space="preserve">incentivizes against such increases in accessibility if, for instance, a corporation could argue that </w:t>
      </w:r>
      <w:r w:rsidR="00047DEF" w:rsidRPr="00FE7D2E">
        <w:rPr>
          <w:rFonts w:eastAsiaTheme="minorHAnsi" w:cs="Arial"/>
          <w:sz w:val="24"/>
          <w:szCs w:val="24"/>
        </w:rPr>
        <w:t>among its three hospitals in a given city, it can enhance accessibility</w:t>
      </w:r>
      <w:r w:rsidR="00BE6474" w:rsidRPr="00FE7D2E">
        <w:rPr>
          <w:rFonts w:eastAsiaTheme="minorHAnsi" w:cs="Arial"/>
          <w:sz w:val="24"/>
          <w:szCs w:val="24"/>
        </w:rPr>
        <w:t xml:space="preserve"> and healthcare services in </w:t>
      </w:r>
      <w:r w:rsidR="00BE6474" w:rsidRPr="00FE7D2E">
        <w:rPr>
          <w:rFonts w:eastAsiaTheme="minorHAnsi" w:cs="Arial"/>
          <w:i/>
          <w:iCs/>
          <w:sz w:val="24"/>
          <w:szCs w:val="24"/>
        </w:rPr>
        <w:t>one</w:t>
      </w:r>
      <w:r w:rsidR="00BE6474" w:rsidRPr="00FE7D2E">
        <w:rPr>
          <w:rFonts w:eastAsiaTheme="minorHAnsi" w:cs="Arial"/>
          <w:sz w:val="24"/>
          <w:szCs w:val="24"/>
        </w:rPr>
        <w:t xml:space="preserve"> of those hospitals, or in only </w:t>
      </w:r>
      <w:r w:rsidR="00BE6474" w:rsidRPr="00FE7D2E">
        <w:rPr>
          <w:rFonts w:eastAsiaTheme="minorHAnsi" w:cs="Arial"/>
          <w:i/>
          <w:iCs/>
          <w:sz w:val="24"/>
          <w:szCs w:val="24"/>
        </w:rPr>
        <w:t>some</w:t>
      </w:r>
      <w:r w:rsidR="00B76556" w:rsidRPr="00FE7D2E">
        <w:rPr>
          <w:rFonts w:eastAsiaTheme="minorHAnsi" w:cs="Arial"/>
          <w:sz w:val="24"/>
          <w:szCs w:val="24"/>
        </w:rPr>
        <w:t xml:space="preserve"> of its clinics, to ensure overall program access. The second factor that speaks against the application of program access in healthcare is the simple fact that healthcare providers are not fungible. </w:t>
      </w:r>
      <w:r w:rsidR="002C70D8" w:rsidRPr="00FE7D2E">
        <w:rPr>
          <w:rFonts w:eastAsiaTheme="minorHAnsi" w:cs="Arial"/>
          <w:sz w:val="24"/>
          <w:szCs w:val="24"/>
        </w:rPr>
        <w:t>Patients with disabilities, who may typically require more healthcare services</w:t>
      </w:r>
      <w:r w:rsidR="00083452" w:rsidRPr="00FE7D2E">
        <w:rPr>
          <w:rFonts w:eastAsiaTheme="minorHAnsi" w:cs="Arial"/>
          <w:sz w:val="24"/>
          <w:szCs w:val="24"/>
        </w:rPr>
        <w:t xml:space="preserve"> for longer periods, develop relationships and trust with specific providers and care teams</w:t>
      </w:r>
      <w:r w:rsidR="00B93C16" w:rsidRPr="00FE7D2E">
        <w:rPr>
          <w:rFonts w:eastAsiaTheme="minorHAnsi" w:cs="Arial"/>
          <w:sz w:val="24"/>
          <w:szCs w:val="24"/>
        </w:rPr>
        <w:t>, possibly on the basis of other personal factors such as language, sexual orientation, or gender identity</w:t>
      </w:r>
      <w:r w:rsidR="00083452" w:rsidRPr="00FE7D2E">
        <w:rPr>
          <w:rFonts w:eastAsiaTheme="minorHAnsi" w:cs="Arial"/>
          <w:sz w:val="24"/>
          <w:szCs w:val="24"/>
        </w:rPr>
        <w:t xml:space="preserve">. </w:t>
      </w:r>
      <w:r w:rsidR="007750E6" w:rsidRPr="00FE7D2E">
        <w:rPr>
          <w:rFonts w:eastAsiaTheme="minorHAnsi" w:cs="Arial"/>
          <w:sz w:val="24"/>
          <w:szCs w:val="24"/>
        </w:rPr>
        <w:t xml:space="preserve">Those relationships should not be put at risk by corporate healthcare acquisitions that </w:t>
      </w:r>
      <w:r w:rsidR="006F236A" w:rsidRPr="00FE7D2E">
        <w:rPr>
          <w:rFonts w:eastAsiaTheme="minorHAnsi" w:cs="Arial"/>
          <w:sz w:val="24"/>
          <w:szCs w:val="24"/>
        </w:rPr>
        <w:t xml:space="preserve">may make overall program access decisions </w:t>
      </w:r>
      <w:r w:rsidR="0004764E" w:rsidRPr="00FE7D2E">
        <w:rPr>
          <w:rFonts w:eastAsiaTheme="minorHAnsi" w:cs="Arial"/>
          <w:sz w:val="24"/>
          <w:szCs w:val="24"/>
        </w:rPr>
        <w:t>without prioritizing care continuity</w:t>
      </w:r>
      <w:r w:rsidR="001A6406" w:rsidRPr="00FE7D2E">
        <w:rPr>
          <w:rFonts w:eastAsiaTheme="minorHAnsi" w:cs="Arial"/>
          <w:sz w:val="24"/>
          <w:szCs w:val="24"/>
        </w:rPr>
        <w:t xml:space="preserve">, </w:t>
      </w:r>
      <w:r w:rsidR="00B93C16" w:rsidRPr="00FE7D2E">
        <w:rPr>
          <w:rFonts w:eastAsiaTheme="minorHAnsi" w:cs="Arial"/>
          <w:sz w:val="24"/>
          <w:szCs w:val="24"/>
        </w:rPr>
        <w:t>patient choice</w:t>
      </w:r>
      <w:r w:rsidR="001A6406" w:rsidRPr="00FE7D2E">
        <w:rPr>
          <w:rFonts w:eastAsiaTheme="minorHAnsi" w:cs="Arial"/>
          <w:sz w:val="24"/>
          <w:szCs w:val="24"/>
        </w:rPr>
        <w:t>, or stakeholder consultation</w:t>
      </w:r>
      <w:r w:rsidR="00B93C16" w:rsidRPr="00FE7D2E">
        <w:rPr>
          <w:rFonts w:eastAsiaTheme="minorHAnsi" w:cs="Arial"/>
          <w:sz w:val="24"/>
          <w:szCs w:val="24"/>
        </w:rPr>
        <w:t>.</w:t>
      </w:r>
    </w:p>
    <w:p w14:paraId="0F9ACA76" w14:textId="77777777" w:rsidR="000F3333" w:rsidRPr="00FE7D2E" w:rsidRDefault="000F3333" w:rsidP="00FE7D2E">
      <w:pPr>
        <w:autoSpaceDE w:val="0"/>
        <w:autoSpaceDN w:val="0"/>
        <w:adjustRightInd w:val="0"/>
        <w:rPr>
          <w:rFonts w:eastAsiaTheme="minorHAnsi" w:cs="Arial"/>
          <w:sz w:val="24"/>
          <w:szCs w:val="24"/>
        </w:rPr>
      </w:pPr>
    </w:p>
    <w:p w14:paraId="207B5475" w14:textId="77777777" w:rsidR="00DA5074" w:rsidRPr="00FE7D2E" w:rsidRDefault="00DA5074" w:rsidP="00FE7D2E">
      <w:pPr>
        <w:autoSpaceDE w:val="0"/>
        <w:autoSpaceDN w:val="0"/>
        <w:adjustRightInd w:val="0"/>
        <w:rPr>
          <w:rFonts w:eastAsiaTheme="minorHAnsi" w:cs="Arial"/>
          <w:sz w:val="24"/>
          <w:szCs w:val="24"/>
        </w:rPr>
      </w:pPr>
    </w:p>
    <w:p w14:paraId="25BE3A4B" w14:textId="4AC62A33" w:rsidR="008C65C6" w:rsidRPr="00FE7D2E" w:rsidRDefault="00497E9C" w:rsidP="00FE7D2E">
      <w:pPr>
        <w:autoSpaceDE w:val="0"/>
        <w:autoSpaceDN w:val="0"/>
        <w:adjustRightInd w:val="0"/>
        <w:rPr>
          <w:rFonts w:eastAsiaTheme="minorHAnsi" w:cs="Arial"/>
          <w:sz w:val="24"/>
          <w:szCs w:val="24"/>
        </w:rPr>
      </w:pPr>
      <w:r w:rsidRPr="00FE7D2E">
        <w:rPr>
          <w:rFonts w:eastAsiaTheme="minorHAnsi" w:cs="Arial"/>
          <w:b/>
          <w:bCs/>
          <w:sz w:val="24"/>
          <w:szCs w:val="24"/>
        </w:rPr>
        <w:t xml:space="preserve">§ 84.23 New </w:t>
      </w:r>
      <w:r w:rsidR="008A41CF" w:rsidRPr="00FE7D2E">
        <w:rPr>
          <w:rFonts w:eastAsiaTheme="minorHAnsi" w:cs="Arial"/>
          <w:b/>
          <w:bCs/>
          <w:sz w:val="24"/>
          <w:szCs w:val="24"/>
        </w:rPr>
        <w:t>C</w:t>
      </w:r>
      <w:r w:rsidRPr="00FE7D2E">
        <w:rPr>
          <w:rFonts w:eastAsiaTheme="minorHAnsi" w:cs="Arial"/>
          <w:b/>
          <w:bCs/>
          <w:sz w:val="24"/>
          <w:szCs w:val="24"/>
        </w:rPr>
        <w:t xml:space="preserve">onstruction and </w:t>
      </w:r>
      <w:r w:rsidR="008A41CF" w:rsidRPr="00FE7D2E">
        <w:rPr>
          <w:rFonts w:eastAsiaTheme="minorHAnsi" w:cs="Arial"/>
          <w:b/>
          <w:bCs/>
          <w:sz w:val="24"/>
          <w:szCs w:val="24"/>
        </w:rPr>
        <w:t>A</w:t>
      </w:r>
      <w:r w:rsidRPr="00FE7D2E">
        <w:rPr>
          <w:rFonts w:eastAsiaTheme="minorHAnsi" w:cs="Arial"/>
          <w:b/>
          <w:bCs/>
          <w:sz w:val="24"/>
          <w:szCs w:val="24"/>
        </w:rPr>
        <w:t>lterations.</w:t>
      </w:r>
    </w:p>
    <w:p w14:paraId="6D661314" w14:textId="77777777" w:rsidR="00244CB9" w:rsidRPr="00FE7D2E" w:rsidRDefault="00244CB9" w:rsidP="00FE7D2E">
      <w:pPr>
        <w:rPr>
          <w:rFonts w:cs="Arial"/>
          <w:sz w:val="24"/>
          <w:szCs w:val="24"/>
        </w:rPr>
      </w:pPr>
    </w:p>
    <w:p w14:paraId="23D0B864" w14:textId="62266FD7" w:rsidR="006A591F" w:rsidRPr="00FE7D2E" w:rsidRDefault="00FB6DC3" w:rsidP="00FE7D2E">
      <w:pPr>
        <w:rPr>
          <w:rFonts w:cs="Arial"/>
          <w:sz w:val="24"/>
          <w:szCs w:val="24"/>
        </w:rPr>
      </w:pPr>
      <w:r w:rsidRPr="00FE7D2E">
        <w:rPr>
          <w:rFonts w:cs="Arial"/>
          <w:sz w:val="24"/>
          <w:szCs w:val="24"/>
        </w:rPr>
        <w:t xml:space="preserve">The existing Section 504 regulations has applied now for </w:t>
      </w:r>
      <w:r w:rsidR="006E2ECA" w:rsidRPr="00FE7D2E">
        <w:rPr>
          <w:rFonts w:cs="Arial"/>
          <w:sz w:val="24"/>
          <w:szCs w:val="24"/>
        </w:rPr>
        <w:t xml:space="preserve">45 years. Clearly, the state of the art accessible construction standards that applied in 1978 have come a long way. </w:t>
      </w:r>
      <w:r w:rsidR="006A591F" w:rsidRPr="00FE7D2E">
        <w:rPr>
          <w:rFonts w:cs="Arial"/>
          <w:sz w:val="24"/>
          <w:szCs w:val="24"/>
        </w:rPr>
        <w:t>As we look at the language to clarify and align Section 504 of the Rehabilitation Act with</w:t>
      </w:r>
      <w:r w:rsidR="00244CB9" w:rsidRPr="00FE7D2E">
        <w:rPr>
          <w:rFonts w:cs="Arial"/>
          <w:sz w:val="24"/>
          <w:szCs w:val="24"/>
        </w:rPr>
        <w:t xml:space="preserve"> </w:t>
      </w:r>
      <w:r w:rsidR="006A591F" w:rsidRPr="00FE7D2E">
        <w:rPr>
          <w:rFonts w:cs="Arial"/>
          <w:sz w:val="24"/>
          <w:szCs w:val="24"/>
        </w:rPr>
        <w:t xml:space="preserve">other standards addressing accessible facilities, </w:t>
      </w:r>
      <w:r w:rsidR="00A36041" w:rsidRPr="00FE7D2E">
        <w:rPr>
          <w:rFonts w:cs="Arial"/>
          <w:sz w:val="24"/>
          <w:szCs w:val="24"/>
        </w:rPr>
        <w:t xml:space="preserve">DREDF recommends </w:t>
      </w:r>
      <w:r w:rsidR="006A591F" w:rsidRPr="00FE7D2E">
        <w:rPr>
          <w:rFonts w:cs="Arial"/>
          <w:sz w:val="24"/>
          <w:szCs w:val="24"/>
        </w:rPr>
        <w:t xml:space="preserve">that </w:t>
      </w:r>
      <w:r w:rsidR="001378E4" w:rsidRPr="00FE7D2E">
        <w:rPr>
          <w:rFonts w:cs="Arial"/>
          <w:sz w:val="24"/>
          <w:szCs w:val="24"/>
        </w:rPr>
        <w:t xml:space="preserve">HHS OCR </w:t>
      </w:r>
      <w:r w:rsidR="00A36041" w:rsidRPr="00FE7D2E">
        <w:rPr>
          <w:rFonts w:cs="Arial"/>
          <w:sz w:val="24"/>
          <w:szCs w:val="24"/>
        </w:rPr>
        <w:t xml:space="preserve">adopt the most current standard </w:t>
      </w:r>
      <w:r w:rsidR="006E0ECB" w:rsidRPr="00FE7D2E">
        <w:rPr>
          <w:rFonts w:cs="Arial"/>
          <w:sz w:val="24"/>
          <w:szCs w:val="24"/>
        </w:rPr>
        <w:t xml:space="preserve">that currently exists because this is a standard that is likely to apply into future decades. </w:t>
      </w:r>
      <w:r w:rsidR="00D012BD" w:rsidRPr="00FE7D2E">
        <w:rPr>
          <w:rFonts w:cs="Arial"/>
          <w:sz w:val="24"/>
          <w:szCs w:val="24"/>
        </w:rPr>
        <w:t>T</w:t>
      </w:r>
      <w:r w:rsidR="00D012BD" w:rsidRPr="00FE7D2E">
        <w:rPr>
          <w:rFonts w:cs="Arial"/>
          <w:sz w:val="24"/>
          <w:szCs w:val="24"/>
        </w:rPr>
        <w:t>he</w:t>
      </w:r>
      <w:r w:rsidR="00D012BD" w:rsidRPr="00FE7D2E">
        <w:rPr>
          <w:rFonts w:cs="Arial"/>
          <w:sz w:val="24"/>
          <w:szCs w:val="24"/>
        </w:rPr>
        <w:t xml:space="preserve"> </w:t>
      </w:r>
      <w:r w:rsidR="00D012BD" w:rsidRPr="00FE7D2E">
        <w:rPr>
          <w:rFonts w:cs="Arial"/>
          <w:sz w:val="24"/>
          <w:szCs w:val="24"/>
        </w:rPr>
        <w:t>International Building Code 2021 Chapter 11 and ICC A117.1 in its entirety</w:t>
      </w:r>
      <w:r w:rsidR="00D012BD" w:rsidRPr="00FE7D2E">
        <w:rPr>
          <w:rFonts w:cs="Arial"/>
          <w:sz w:val="24"/>
          <w:szCs w:val="24"/>
        </w:rPr>
        <w:t xml:space="preserve"> provides </w:t>
      </w:r>
      <w:r w:rsidR="006A591F" w:rsidRPr="00FE7D2E">
        <w:rPr>
          <w:rFonts w:cs="Arial"/>
          <w:sz w:val="24"/>
          <w:szCs w:val="24"/>
        </w:rPr>
        <w:t>greater</w:t>
      </w:r>
      <w:r w:rsidR="00D012BD" w:rsidRPr="00FE7D2E">
        <w:rPr>
          <w:rFonts w:cs="Arial"/>
          <w:sz w:val="24"/>
          <w:szCs w:val="24"/>
        </w:rPr>
        <w:t xml:space="preserve"> overall</w:t>
      </w:r>
      <w:r w:rsidR="006A591F" w:rsidRPr="00FE7D2E">
        <w:rPr>
          <w:rFonts w:cs="Arial"/>
          <w:sz w:val="24"/>
          <w:szCs w:val="24"/>
        </w:rPr>
        <w:t xml:space="preserve"> accessibility to people with disabilities </w:t>
      </w:r>
      <w:r w:rsidR="001C5BA6" w:rsidRPr="00FE7D2E">
        <w:rPr>
          <w:rFonts w:cs="Arial"/>
          <w:sz w:val="24"/>
          <w:szCs w:val="24"/>
        </w:rPr>
        <w:t xml:space="preserve">and a higher level of </w:t>
      </w:r>
      <w:r w:rsidR="006A591F" w:rsidRPr="00FE7D2E">
        <w:rPr>
          <w:rFonts w:cs="Arial"/>
          <w:sz w:val="24"/>
          <w:szCs w:val="24"/>
        </w:rPr>
        <w:t>buildings and facilities</w:t>
      </w:r>
      <w:r w:rsidR="001C5BA6" w:rsidRPr="00FE7D2E">
        <w:rPr>
          <w:rFonts w:cs="Arial"/>
          <w:sz w:val="24"/>
          <w:szCs w:val="24"/>
        </w:rPr>
        <w:t xml:space="preserve"> </w:t>
      </w:r>
      <w:r w:rsidR="006A591F" w:rsidRPr="00FE7D2E">
        <w:rPr>
          <w:rFonts w:cs="Arial"/>
          <w:sz w:val="24"/>
          <w:szCs w:val="24"/>
        </w:rPr>
        <w:t xml:space="preserve">accessibility standard </w:t>
      </w:r>
      <w:r w:rsidR="001C5BA6" w:rsidRPr="00FE7D2E">
        <w:rPr>
          <w:rFonts w:cs="Arial"/>
          <w:sz w:val="24"/>
          <w:szCs w:val="24"/>
        </w:rPr>
        <w:t xml:space="preserve">than the 2010 ADA standard. </w:t>
      </w:r>
      <w:r w:rsidR="006A591F" w:rsidRPr="00FE7D2E">
        <w:rPr>
          <w:rFonts w:cs="Arial"/>
          <w:sz w:val="24"/>
          <w:szCs w:val="24"/>
        </w:rPr>
        <w:t>The 2010 ADA Standard was written in 2004 and adopted by DOJ in 2010. Th</w:t>
      </w:r>
      <w:r w:rsidR="001C5BA6" w:rsidRPr="00FE7D2E">
        <w:rPr>
          <w:rFonts w:cs="Arial"/>
          <w:sz w:val="24"/>
          <w:szCs w:val="24"/>
        </w:rPr>
        <w:t xml:space="preserve">e language in the ADA standard </w:t>
      </w:r>
      <w:r w:rsidR="006A591F" w:rsidRPr="00FE7D2E">
        <w:rPr>
          <w:rFonts w:cs="Arial"/>
          <w:sz w:val="24"/>
          <w:szCs w:val="24"/>
        </w:rPr>
        <w:t xml:space="preserve">is </w:t>
      </w:r>
      <w:r w:rsidR="001C5BA6" w:rsidRPr="00FE7D2E">
        <w:rPr>
          <w:rFonts w:cs="Arial"/>
          <w:sz w:val="24"/>
          <w:szCs w:val="24"/>
        </w:rPr>
        <w:t xml:space="preserve">therefore </w:t>
      </w:r>
      <w:r w:rsidR="006A591F" w:rsidRPr="00FE7D2E">
        <w:rPr>
          <w:rFonts w:cs="Arial"/>
          <w:sz w:val="24"/>
          <w:szCs w:val="24"/>
        </w:rPr>
        <w:t>based on knowledge and anthropometrics from 19 years</w:t>
      </w:r>
      <w:r w:rsidR="00A16CA2" w:rsidRPr="00FE7D2E">
        <w:rPr>
          <w:rFonts w:cs="Arial"/>
          <w:sz w:val="24"/>
          <w:szCs w:val="24"/>
        </w:rPr>
        <w:t xml:space="preserve"> </w:t>
      </w:r>
      <w:r w:rsidR="006A591F" w:rsidRPr="00FE7D2E">
        <w:rPr>
          <w:rFonts w:cs="Arial"/>
          <w:sz w:val="24"/>
          <w:szCs w:val="24"/>
        </w:rPr>
        <w:t>ago.</w:t>
      </w:r>
    </w:p>
    <w:p w14:paraId="78198AE5" w14:textId="77777777" w:rsidR="00A16CA2" w:rsidRPr="00FE7D2E" w:rsidRDefault="00A16CA2" w:rsidP="00FE7D2E">
      <w:pPr>
        <w:rPr>
          <w:rFonts w:cs="Arial"/>
          <w:sz w:val="24"/>
          <w:szCs w:val="24"/>
        </w:rPr>
      </w:pPr>
    </w:p>
    <w:p w14:paraId="193E887B" w14:textId="77777777" w:rsidR="006A591F" w:rsidRPr="00FE7D2E" w:rsidRDefault="006A591F" w:rsidP="00FE7D2E">
      <w:pPr>
        <w:rPr>
          <w:rFonts w:cs="Arial"/>
          <w:sz w:val="24"/>
          <w:szCs w:val="24"/>
        </w:rPr>
      </w:pPr>
      <w:r w:rsidRPr="00FE7D2E">
        <w:rPr>
          <w:rFonts w:cs="Arial"/>
          <w:sz w:val="24"/>
          <w:szCs w:val="24"/>
        </w:rPr>
        <w:t>The ICC A117.1 (2017 edition) Accessible and Usable Buildings and Facilities is a</w:t>
      </w:r>
    </w:p>
    <w:p w14:paraId="0F069A59" w14:textId="77777777" w:rsidR="006A591F" w:rsidRPr="00FE7D2E" w:rsidRDefault="006A591F" w:rsidP="00FE7D2E">
      <w:pPr>
        <w:rPr>
          <w:rFonts w:cs="Arial"/>
          <w:sz w:val="24"/>
          <w:szCs w:val="24"/>
        </w:rPr>
      </w:pPr>
      <w:r w:rsidRPr="00FE7D2E">
        <w:rPr>
          <w:rFonts w:cs="Arial"/>
          <w:sz w:val="24"/>
          <w:szCs w:val="24"/>
        </w:rPr>
        <w:t>standard developed by the International Code Council through a consensus process</w:t>
      </w:r>
    </w:p>
    <w:p w14:paraId="0B5BFCA3" w14:textId="77777777" w:rsidR="006A591F" w:rsidRPr="00FE7D2E" w:rsidRDefault="006A591F" w:rsidP="00FE7D2E">
      <w:pPr>
        <w:rPr>
          <w:rFonts w:cs="Arial"/>
          <w:sz w:val="24"/>
          <w:szCs w:val="24"/>
        </w:rPr>
      </w:pPr>
      <w:r w:rsidRPr="00FE7D2E">
        <w:rPr>
          <w:rFonts w:cs="Arial"/>
          <w:sz w:val="24"/>
          <w:szCs w:val="24"/>
        </w:rPr>
        <w:t>approved and monitored by the American National Standards Institute to provide</w:t>
      </w:r>
    </w:p>
    <w:p w14:paraId="62F7A472" w14:textId="77777777" w:rsidR="006A591F" w:rsidRPr="00FE7D2E" w:rsidRDefault="006A591F" w:rsidP="00FE7D2E">
      <w:pPr>
        <w:rPr>
          <w:rFonts w:cs="Arial"/>
          <w:sz w:val="24"/>
          <w:szCs w:val="24"/>
        </w:rPr>
      </w:pPr>
      <w:r w:rsidRPr="00FE7D2E">
        <w:rPr>
          <w:rFonts w:cs="Arial"/>
          <w:sz w:val="24"/>
          <w:szCs w:val="24"/>
        </w:rPr>
        <w:t>technical criterial to make sites, facilities, buildings and elements accessible to and</w:t>
      </w:r>
    </w:p>
    <w:p w14:paraId="516CA233" w14:textId="169CADAE" w:rsidR="006A591F" w:rsidRPr="00FE7D2E" w:rsidRDefault="006A591F" w:rsidP="00FE7D2E">
      <w:pPr>
        <w:rPr>
          <w:rFonts w:cs="Arial"/>
          <w:sz w:val="24"/>
          <w:szCs w:val="24"/>
        </w:rPr>
      </w:pPr>
      <w:r w:rsidRPr="00FE7D2E">
        <w:rPr>
          <w:rFonts w:cs="Arial"/>
          <w:sz w:val="24"/>
          <w:szCs w:val="24"/>
        </w:rPr>
        <w:t>usable by people with physical disabilities.</w:t>
      </w:r>
      <w:r w:rsidR="00244CB9" w:rsidRPr="00FE7D2E">
        <w:rPr>
          <w:rStyle w:val="EndnoteReference"/>
          <w:rFonts w:cs="Arial"/>
          <w:sz w:val="24"/>
          <w:szCs w:val="24"/>
        </w:rPr>
        <w:endnoteReference w:id="4"/>
      </w:r>
      <w:r w:rsidRPr="00FE7D2E">
        <w:rPr>
          <w:rFonts w:cs="Arial"/>
          <w:sz w:val="24"/>
          <w:szCs w:val="24"/>
        </w:rPr>
        <w:t xml:space="preserve"> The intent of these sections is to allow a</w:t>
      </w:r>
    </w:p>
    <w:p w14:paraId="4F9750DF" w14:textId="77777777" w:rsidR="006A591F" w:rsidRPr="00FE7D2E" w:rsidRDefault="006A591F" w:rsidP="00FE7D2E">
      <w:pPr>
        <w:rPr>
          <w:rFonts w:cs="Arial"/>
          <w:sz w:val="24"/>
          <w:szCs w:val="24"/>
        </w:rPr>
      </w:pPr>
      <w:r w:rsidRPr="00FE7D2E">
        <w:rPr>
          <w:rFonts w:cs="Arial"/>
          <w:sz w:val="24"/>
          <w:szCs w:val="24"/>
        </w:rPr>
        <w:t>person with a physical disability to independently get to, enter, and use a site, facility,</w:t>
      </w:r>
    </w:p>
    <w:p w14:paraId="14D6113D" w14:textId="14710B9A" w:rsidR="006A591F" w:rsidRPr="00FE7D2E" w:rsidRDefault="006A591F" w:rsidP="00FE7D2E">
      <w:pPr>
        <w:rPr>
          <w:rFonts w:cs="Arial"/>
          <w:sz w:val="24"/>
          <w:szCs w:val="24"/>
        </w:rPr>
      </w:pPr>
      <w:r w:rsidRPr="00FE7D2E">
        <w:rPr>
          <w:rFonts w:cs="Arial"/>
          <w:sz w:val="24"/>
          <w:szCs w:val="24"/>
        </w:rPr>
        <w:t>building or element.</w:t>
      </w:r>
      <w:r w:rsidR="00A16CA2" w:rsidRPr="00FE7D2E">
        <w:rPr>
          <w:rFonts w:cs="Arial"/>
          <w:sz w:val="24"/>
          <w:szCs w:val="24"/>
        </w:rPr>
        <w:t xml:space="preserve"> The ICC 2017 edition </w:t>
      </w:r>
      <w:r w:rsidRPr="00FE7D2E">
        <w:rPr>
          <w:rFonts w:cs="Arial"/>
          <w:sz w:val="24"/>
          <w:szCs w:val="24"/>
        </w:rPr>
        <w:t>includes enhanced dimensions for turning spaces and clear floor</w:t>
      </w:r>
      <w:r w:rsidR="00B74A3D" w:rsidRPr="00FE7D2E">
        <w:rPr>
          <w:rFonts w:cs="Arial"/>
          <w:sz w:val="24"/>
          <w:szCs w:val="24"/>
        </w:rPr>
        <w:t xml:space="preserve"> </w:t>
      </w:r>
      <w:r w:rsidRPr="00FE7D2E">
        <w:rPr>
          <w:rFonts w:cs="Arial"/>
          <w:sz w:val="24"/>
          <w:szCs w:val="24"/>
        </w:rPr>
        <w:t>spaces to accommodate wheeled mobility devices based on</w:t>
      </w:r>
    </w:p>
    <w:p w14:paraId="73600469" w14:textId="70964F6A" w:rsidR="006A591F" w:rsidRPr="00FE7D2E" w:rsidRDefault="006A591F" w:rsidP="00FE7D2E">
      <w:pPr>
        <w:rPr>
          <w:rFonts w:cs="Arial"/>
          <w:sz w:val="24"/>
          <w:szCs w:val="24"/>
        </w:rPr>
      </w:pPr>
      <w:r w:rsidRPr="00FE7D2E">
        <w:rPr>
          <w:rFonts w:cs="Arial"/>
          <w:sz w:val="24"/>
          <w:szCs w:val="24"/>
        </w:rPr>
        <w:t xml:space="preserve">anthropometric data that </w:t>
      </w:r>
      <w:r w:rsidR="00B74A3D" w:rsidRPr="00FE7D2E">
        <w:rPr>
          <w:rFonts w:cs="Arial"/>
          <w:sz w:val="24"/>
          <w:szCs w:val="24"/>
        </w:rPr>
        <w:t xml:space="preserve">has been </w:t>
      </w:r>
      <w:r w:rsidRPr="00FE7D2E">
        <w:rPr>
          <w:rFonts w:cs="Arial"/>
          <w:sz w:val="24"/>
          <w:szCs w:val="24"/>
        </w:rPr>
        <w:t>published in the years since the passage of the 2010</w:t>
      </w:r>
    </w:p>
    <w:p w14:paraId="45961346" w14:textId="77777777" w:rsidR="006A591F" w:rsidRPr="00FE7D2E" w:rsidRDefault="006A591F" w:rsidP="00FE7D2E">
      <w:pPr>
        <w:rPr>
          <w:rFonts w:cs="Arial"/>
          <w:sz w:val="24"/>
          <w:szCs w:val="24"/>
        </w:rPr>
      </w:pPr>
      <w:r w:rsidRPr="00FE7D2E">
        <w:rPr>
          <w:rFonts w:cs="Arial"/>
          <w:sz w:val="24"/>
          <w:szCs w:val="24"/>
        </w:rPr>
        <w:t>ADA. Additional changes include features allow for better communication for persons</w:t>
      </w:r>
    </w:p>
    <w:p w14:paraId="296E4A42" w14:textId="77777777" w:rsidR="006A591F" w:rsidRPr="00FE7D2E" w:rsidRDefault="006A591F" w:rsidP="00FE7D2E">
      <w:pPr>
        <w:rPr>
          <w:rFonts w:cs="Arial"/>
          <w:sz w:val="24"/>
          <w:szCs w:val="24"/>
        </w:rPr>
      </w:pPr>
      <w:r w:rsidRPr="00FE7D2E">
        <w:rPr>
          <w:rFonts w:cs="Arial"/>
          <w:sz w:val="24"/>
          <w:szCs w:val="24"/>
        </w:rPr>
        <w:t>using sign language, revised parking and loading zone criteria, enhanced exterior route</w:t>
      </w:r>
    </w:p>
    <w:p w14:paraId="07239A0D" w14:textId="77777777" w:rsidR="006A591F" w:rsidRPr="00FE7D2E" w:rsidRDefault="006A591F" w:rsidP="00FE7D2E">
      <w:pPr>
        <w:rPr>
          <w:rFonts w:cs="Arial"/>
          <w:sz w:val="24"/>
          <w:szCs w:val="24"/>
        </w:rPr>
      </w:pPr>
      <w:r w:rsidRPr="00FE7D2E">
        <w:rPr>
          <w:rFonts w:cs="Arial"/>
          <w:sz w:val="24"/>
          <w:szCs w:val="24"/>
        </w:rPr>
        <w:t>information and safety for crossing parking lots and the addition of water bottle filler</w:t>
      </w:r>
    </w:p>
    <w:p w14:paraId="7BD9908D" w14:textId="6B2A3555" w:rsidR="006A591F" w:rsidRPr="00FE7D2E" w:rsidRDefault="006A591F" w:rsidP="00FE7D2E">
      <w:pPr>
        <w:rPr>
          <w:rFonts w:cs="Arial"/>
          <w:sz w:val="24"/>
          <w:szCs w:val="24"/>
        </w:rPr>
      </w:pPr>
      <w:r w:rsidRPr="00FE7D2E">
        <w:rPr>
          <w:rFonts w:cs="Arial"/>
          <w:sz w:val="24"/>
          <w:szCs w:val="24"/>
        </w:rPr>
        <w:lastRenderedPageBreak/>
        <w:t>criteria, to name</w:t>
      </w:r>
      <w:r w:rsidR="00B74A3D" w:rsidRPr="00FE7D2E">
        <w:rPr>
          <w:rFonts w:cs="Arial"/>
          <w:sz w:val="24"/>
          <w:szCs w:val="24"/>
        </w:rPr>
        <w:t xml:space="preserve"> only</w:t>
      </w:r>
      <w:r w:rsidRPr="00FE7D2E">
        <w:rPr>
          <w:rFonts w:cs="Arial"/>
          <w:sz w:val="24"/>
          <w:szCs w:val="24"/>
        </w:rPr>
        <w:t xml:space="preserve"> a few</w:t>
      </w:r>
      <w:r w:rsidR="00B74A3D" w:rsidRPr="00FE7D2E">
        <w:rPr>
          <w:rFonts w:cs="Arial"/>
          <w:sz w:val="24"/>
          <w:szCs w:val="24"/>
        </w:rPr>
        <w:t xml:space="preserve"> details</w:t>
      </w:r>
      <w:r w:rsidRPr="00FE7D2E">
        <w:rPr>
          <w:rFonts w:cs="Arial"/>
          <w:sz w:val="24"/>
          <w:szCs w:val="24"/>
        </w:rPr>
        <w:t>.</w:t>
      </w:r>
    </w:p>
    <w:p w14:paraId="1B4F5950" w14:textId="77777777" w:rsidR="00B74A3D" w:rsidRPr="00FE7D2E" w:rsidRDefault="00B74A3D" w:rsidP="00FE7D2E">
      <w:pPr>
        <w:rPr>
          <w:rFonts w:cs="Arial"/>
          <w:sz w:val="24"/>
          <w:szCs w:val="24"/>
        </w:rPr>
      </w:pPr>
    </w:p>
    <w:p w14:paraId="4C05F51F" w14:textId="46867FF7" w:rsidR="006A591F" w:rsidRPr="00FE7D2E" w:rsidRDefault="00B74A3D" w:rsidP="00FE7D2E">
      <w:pPr>
        <w:rPr>
          <w:rFonts w:cs="Arial"/>
          <w:sz w:val="24"/>
          <w:szCs w:val="24"/>
        </w:rPr>
      </w:pPr>
      <w:r w:rsidRPr="00FE7D2E">
        <w:rPr>
          <w:rFonts w:cs="Arial"/>
          <w:sz w:val="24"/>
          <w:szCs w:val="24"/>
        </w:rPr>
        <w:t>If t</w:t>
      </w:r>
      <w:r w:rsidR="006A591F" w:rsidRPr="00FE7D2E">
        <w:rPr>
          <w:rFonts w:cs="Arial"/>
          <w:sz w:val="24"/>
          <w:szCs w:val="24"/>
        </w:rPr>
        <w:t xml:space="preserve">he ICC A117.1 </w:t>
      </w:r>
      <w:r w:rsidRPr="00FE7D2E">
        <w:rPr>
          <w:rFonts w:cs="Arial"/>
          <w:sz w:val="24"/>
          <w:szCs w:val="24"/>
        </w:rPr>
        <w:t xml:space="preserve">is </w:t>
      </w:r>
      <w:r w:rsidR="006A591F" w:rsidRPr="00FE7D2E">
        <w:rPr>
          <w:rFonts w:cs="Arial"/>
          <w:sz w:val="24"/>
          <w:szCs w:val="24"/>
        </w:rPr>
        <w:t>paired with the scoping language found in the 2021</w:t>
      </w:r>
      <w:r w:rsidRPr="00FE7D2E">
        <w:rPr>
          <w:rFonts w:cs="Arial"/>
          <w:sz w:val="24"/>
          <w:szCs w:val="24"/>
        </w:rPr>
        <w:t xml:space="preserve"> </w:t>
      </w:r>
      <w:r w:rsidR="006A591F" w:rsidRPr="00FE7D2E">
        <w:rPr>
          <w:rFonts w:cs="Arial"/>
          <w:sz w:val="24"/>
          <w:szCs w:val="24"/>
        </w:rPr>
        <w:t>International Building Code Chapter 11</w:t>
      </w:r>
      <w:r w:rsidRPr="00FE7D2E">
        <w:rPr>
          <w:rFonts w:cs="Arial"/>
          <w:sz w:val="24"/>
          <w:szCs w:val="24"/>
        </w:rPr>
        <w:t xml:space="preserve">, </w:t>
      </w:r>
      <w:r w:rsidR="000D72FF" w:rsidRPr="00FE7D2E">
        <w:rPr>
          <w:rFonts w:cs="Arial"/>
          <w:sz w:val="24"/>
          <w:szCs w:val="24"/>
        </w:rPr>
        <w:t xml:space="preserve">which </w:t>
      </w:r>
      <w:r w:rsidR="006A591F" w:rsidRPr="00FE7D2E">
        <w:rPr>
          <w:rFonts w:cs="Arial"/>
          <w:sz w:val="24"/>
          <w:szCs w:val="24"/>
        </w:rPr>
        <w:t>is similar to the 2010</w:t>
      </w:r>
      <w:r w:rsidR="000D72FF" w:rsidRPr="00FE7D2E">
        <w:rPr>
          <w:rFonts w:cs="Arial"/>
          <w:sz w:val="24"/>
          <w:szCs w:val="24"/>
        </w:rPr>
        <w:t xml:space="preserve"> </w:t>
      </w:r>
      <w:r w:rsidR="006A591F" w:rsidRPr="00FE7D2E">
        <w:rPr>
          <w:rFonts w:cs="Arial"/>
          <w:sz w:val="24"/>
          <w:szCs w:val="24"/>
        </w:rPr>
        <w:t>ADA but is more effectively aligned to point to the standards in the ICC A117.1.</w:t>
      </w:r>
      <w:r w:rsidR="000D72FF" w:rsidRPr="00FE7D2E">
        <w:rPr>
          <w:rFonts w:cs="Arial"/>
          <w:sz w:val="24"/>
          <w:szCs w:val="24"/>
        </w:rPr>
        <w:t xml:space="preserve"> </w:t>
      </w:r>
      <w:r w:rsidR="006A591F" w:rsidRPr="00FE7D2E">
        <w:rPr>
          <w:rFonts w:cs="Arial"/>
          <w:sz w:val="24"/>
          <w:szCs w:val="24"/>
        </w:rPr>
        <w:t>Together they address the same breadth of information as the 2010 ADA but with more</w:t>
      </w:r>
      <w:r w:rsidR="000D72FF" w:rsidRPr="00FE7D2E">
        <w:rPr>
          <w:rFonts w:cs="Arial"/>
          <w:sz w:val="24"/>
          <w:szCs w:val="24"/>
        </w:rPr>
        <w:t xml:space="preserve"> </w:t>
      </w:r>
      <w:r w:rsidR="006A591F" w:rsidRPr="00FE7D2E">
        <w:rPr>
          <w:rFonts w:cs="Arial"/>
          <w:sz w:val="24"/>
          <w:szCs w:val="24"/>
        </w:rPr>
        <w:t>current anthropometrics.</w:t>
      </w:r>
      <w:r w:rsidR="000D72FF" w:rsidRPr="00FE7D2E">
        <w:rPr>
          <w:rFonts w:cs="Arial"/>
          <w:sz w:val="24"/>
          <w:szCs w:val="24"/>
        </w:rPr>
        <w:t xml:space="preserve"> Moreover, t</w:t>
      </w:r>
      <w:r w:rsidR="006A591F" w:rsidRPr="00FE7D2E">
        <w:rPr>
          <w:rFonts w:cs="Arial"/>
          <w:sz w:val="24"/>
          <w:szCs w:val="24"/>
        </w:rPr>
        <w:t>he IBC Chapter 11 and ICC A117.1 are already utilized in the majority of states as</w:t>
      </w:r>
      <w:r w:rsidR="009B49CF" w:rsidRPr="00FE7D2E">
        <w:rPr>
          <w:rFonts w:cs="Arial"/>
          <w:sz w:val="24"/>
          <w:szCs w:val="24"/>
        </w:rPr>
        <w:t xml:space="preserve"> </w:t>
      </w:r>
      <w:r w:rsidR="006A591F" w:rsidRPr="00FE7D2E">
        <w:rPr>
          <w:rFonts w:cs="Arial"/>
          <w:sz w:val="24"/>
          <w:szCs w:val="24"/>
        </w:rPr>
        <w:t xml:space="preserve">Building code </w:t>
      </w:r>
      <w:r w:rsidR="009B49CF" w:rsidRPr="00FE7D2E">
        <w:rPr>
          <w:rFonts w:cs="Arial"/>
          <w:sz w:val="24"/>
          <w:szCs w:val="24"/>
        </w:rPr>
        <w:t xml:space="preserve">requirements </w:t>
      </w:r>
      <w:r w:rsidR="006A591F" w:rsidRPr="00FE7D2E">
        <w:rPr>
          <w:rFonts w:cs="Arial"/>
          <w:sz w:val="24"/>
          <w:szCs w:val="24"/>
        </w:rPr>
        <w:t>so the alignment with current construction requirements should be</w:t>
      </w:r>
      <w:r w:rsidR="009B49CF" w:rsidRPr="00FE7D2E">
        <w:rPr>
          <w:rFonts w:cs="Arial"/>
          <w:sz w:val="24"/>
          <w:szCs w:val="24"/>
        </w:rPr>
        <w:t xml:space="preserve"> quite </w:t>
      </w:r>
      <w:r w:rsidR="006A591F" w:rsidRPr="00FE7D2E">
        <w:rPr>
          <w:rFonts w:cs="Arial"/>
          <w:sz w:val="24"/>
          <w:szCs w:val="24"/>
        </w:rPr>
        <w:t>seamless.</w:t>
      </w:r>
    </w:p>
    <w:p w14:paraId="4DFDA322" w14:textId="77777777" w:rsidR="009B49CF" w:rsidRPr="00FE7D2E" w:rsidRDefault="009B49CF" w:rsidP="00FE7D2E">
      <w:pPr>
        <w:rPr>
          <w:rFonts w:cs="Arial"/>
          <w:sz w:val="24"/>
          <w:szCs w:val="24"/>
        </w:rPr>
      </w:pPr>
    </w:p>
    <w:p w14:paraId="17E4855D" w14:textId="03CA0E03" w:rsidR="006A591F" w:rsidRPr="00FE7D2E" w:rsidRDefault="009B49CF" w:rsidP="00FE7D2E">
      <w:pPr>
        <w:rPr>
          <w:rFonts w:cs="Arial"/>
          <w:sz w:val="24"/>
          <w:szCs w:val="24"/>
        </w:rPr>
      </w:pPr>
      <w:r w:rsidRPr="00FE7D2E">
        <w:rPr>
          <w:rFonts w:cs="Arial"/>
          <w:sz w:val="24"/>
          <w:szCs w:val="24"/>
        </w:rPr>
        <w:t>As a result, we recommend</w:t>
      </w:r>
      <w:r w:rsidR="00244CB9" w:rsidRPr="00FE7D2E">
        <w:rPr>
          <w:rFonts w:cs="Arial"/>
          <w:sz w:val="24"/>
          <w:szCs w:val="24"/>
        </w:rPr>
        <w:t xml:space="preserve"> that </w:t>
      </w:r>
      <w:r w:rsidR="006A591F" w:rsidRPr="00FE7D2E">
        <w:rPr>
          <w:rFonts w:cs="Arial"/>
          <w:sz w:val="24"/>
          <w:szCs w:val="24"/>
        </w:rPr>
        <w:t xml:space="preserve">the reference to the 2010 ADA in the </w:t>
      </w:r>
      <w:r w:rsidR="00244CB9" w:rsidRPr="00FE7D2E">
        <w:rPr>
          <w:rFonts w:cs="Arial"/>
          <w:sz w:val="24"/>
          <w:szCs w:val="24"/>
        </w:rPr>
        <w:t>proposed rule</w:t>
      </w:r>
      <w:r w:rsidR="006A591F" w:rsidRPr="00FE7D2E">
        <w:rPr>
          <w:rFonts w:cs="Arial"/>
          <w:sz w:val="24"/>
          <w:szCs w:val="24"/>
        </w:rPr>
        <w:t xml:space="preserve"> be</w:t>
      </w:r>
    </w:p>
    <w:p w14:paraId="34DCFE4D" w14:textId="77777777" w:rsidR="006A591F" w:rsidRPr="00FE7D2E" w:rsidRDefault="006A591F" w:rsidP="00FE7D2E">
      <w:pPr>
        <w:rPr>
          <w:rFonts w:cs="Arial"/>
          <w:sz w:val="24"/>
          <w:szCs w:val="24"/>
        </w:rPr>
      </w:pPr>
      <w:r w:rsidRPr="00FE7D2E">
        <w:rPr>
          <w:rFonts w:cs="Arial"/>
          <w:sz w:val="24"/>
          <w:szCs w:val="24"/>
        </w:rPr>
        <w:t>replaced as follows -</w:t>
      </w:r>
    </w:p>
    <w:p w14:paraId="3D7E39D4" w14:textId="77777777" w:rsidR="006A591F" w:rsidRPr="00FE7D2E" w:rsidRDefault="006A591F" w:rsidP="00FE7D2E">
      <w:pPr>
        <w:rPr>
          <w:rFonts w:cs="Arial"/>
          <w:sz w:val="24"/>
          <w:szCs w:val="24"/>
        </w:rPr>
      </w:pPr>
      <w:r w:rsidRPr="00FE7D2E">
        <w:rPr>
          <w:rFonts w:cs="Arial"/>
          <w:sz w:val="24"/>
          <w:szCs w:val="24"/>
        </w:rPr>
        <w:t>§ 84.23 </w:t>
      </w:r>
    </w:p>
    <w:p w14:paraId="2E7D5415" w14:textId="77777777" w:rsidR="006A591F" w:rsidRPr="00FE7D2E" w:rsidRDefault="006A591F" w:rsidP="00FE7D2E">
      <w:pPr>
        <w:rPr>
          <w:rFonts w:cs="Arial"/>
          <w:sz w:val="24"/>
          <w:szCs w:val="24"/>
        </w:rPr>
      </w:pPr>
      <w:r w:rsidRPr="00FE7D2E">
        <w:rPr>
          <w:rFonts w:cs="Arial"/>
          <w:sz w:val="24"/>
          <w:szCs w:val="24"/>
        </w:rPr>
        <w:t>New construction and alterations.</w:t>
      </w:r>
    </w:p>
    <w:p w14:paraId="190F69D8" w14:textId="77777777" w:rsidR="006A591F" w:rsidRPr="00FE7D2E" w:rsidRDefault="006A591F" w:rsidP="00FE7D2E">
      <w:pPr>
        <w:rPr>
          <w:rFonts w:cs="Arial"/>
          <w:sz w:val="24"/>
          <w:szCs w:val="24"/>
        </w:rPr>
      </w:pPr>
      <w:r w:rsidRPr="00FE7D2E">
        <w:rPr>
          <w:rFonts w:cs="Arial"/>
          <w:sz w:val="24"/>
          <w:szCs w:val="24"/>
        </w:rPr>
        <w:t>(c) Accessibility standards and compliance dates for recipients that are public entities. </w:t>
      </w:r>
    </w:p>
    <w:p w14:paraId="7F5C507E" w14:textId="77777777" w:rsidR="006A591F" w:rsidRPr="00FE7D2E" w:rsidRDefault="006A591F" w:rsidP="00FE7D2E">
      <w:pPr>
        <w:rPr>
          <w:rFonts w:cs="Arial"/>
          <w:sz w:val="24"/>
          <w:szCs w:val="24"/>
        </w:rPr>
      </w:pPr>
      <w:r w:rsidRPr="00FE7D2E">
        <w:rPr>
          <w:rFonts w:cs="Arial"/>
          <w:sz w:val="24"/>
          <w:szCs w:val="24"/>
        </w:rPr>
        <w:t>(5) If physical construction or alterations commence on or after [DATE ONE YEAR</w:t>
      </w:r>
    </w:p>
    <w:p w14:paraId="1388E77D" w14:textId="77777777" w:rsidR="006A591F" w:rsidRPr="00FE7D2E" w:rsidRDefault="006A591F" w:rsidP="00FE7D2E">
      <w:pPr>
        <w:rPr>
          <w:rFonts w:cs="Arial"/>
          <w:sz w:val="24"/>
          <w:szCs w:val="24"/>
        </w:rPr>
      </w:pPr>
      <w:r w:rsidRPr="00FE7D2E">
        <w:rPr>
          <w:rFonts w:cs="Arial"/>
          <w:sz w:val="24"/>
          <w:szCs w:val="24"/>
        </w:rPr>
        <w:t>FROM PUBLICATION DATE OF FINAL RULE IN THE FEDERAL REGISTER ], then</w:t>
      </w:r>
    </w:p>
    <w:p w14:paraId="062567AD" w14:textId="77777777" w:rsidR="006A591F" w:rsidRPr="00FE7D2E" w:rsidRDefault="006A591F" w:rsidP="00FE7D2E">
      <w:pPr>
        <w:rPr>
          <w:rFonts w:cs="Arial"/>
          <w:strike/>
          <w:sz w:val="24"/>
          <w:szCs w:val="24"/>
        </w:rPr>
      </w:pPr>
      <w:r w:rsidRPr="00FE7D2E">
        <w:rPr>
          <w:rFonts w:cs="Arial"/>
          <w:sz w:val="24"/>
          <w:szCs w:val="24"/>
        </w:rPr>
        <w:t xml:space="preserve">new construction and alterations subject to this section shall comply with the </w:t>
      </w:r>
      <w:r w:rsidRPr="00FE7D2E">
        <w:rPr>
          <w:rFonts w:cs="Arial"/>
          <w:strike/>
          <w:sz w:val="24"/>
          <w:szCs w:val="24"/>
        </w:rPr>
        <w:t>2010</w:t>
      </w:r>
    </w:p>
    <w:p w14:paraId="64071357" w14:textId="77777777" w:rsidR="006A591F" w:rsidRPr="00FE7D2E" w:rsidRDefault="006A591F" w:rsidP="00FE7D2E">
      <w:pPr>
        <w:rPr>
          <w:rFonts w:cs="Arial"/>
          <w:sz w:val="24"/>
          <w:szCs w:val="24"/>
        </w:rPr>
      </w:pPr>
      <w:r w:rsidRPr="00FE7D2E">
        <w:rPr>
          <w:rFonts w:cs="Arial"/>
          <w:strike/>
          <w:sz w:val="24"/>
          <w:szCs w:val="24"/>
        </w:rPr>
        <w:t>Standards.</w:t>
      </w:r>
      <w:r w:rsidRPr="00FE7D2E">
        <w:rPr>
          <w:rFonts w:cs="Arial"/>
          <w:sz w:val="24"/>
          <w:szCs w:val="24"/>
        </w:rPr>
        <w:t xml:space="preserve"> </w:t>
      </w:r>
      <w:r w:rsidRPr="00FE7D2E">
        <w:rPr>
          <w:rFonts w:cs="Arial"/>
          <w:sz w:val="24"/>
          <w:szCs w:val="24"/>
          <w:highlight w:val="yellow"/>
        </w:rPr>
        <w:t>International Building Code 2021 Chapter 11 and ICC A117.1 in its entirety</w:t>
      </w:r>
      <w:r w:rsidRPr="00FE7D2E">
        <w:rPr>
          <w:rFonts w:cs="Arial"/>
          <w:sz w:val="24"/>
          <w:szCs w:val="24"/>
        </w:rPr>
        <w:t>.</w:t>
      </w:r>
    </w:p>
    <w:p w14:paraId="7E7DD2FC" w14:textId="77777777" w:rsidR="006A591F" w:rsidRPr="00FE7D2E" w:rsidRDefault="006A591F" w:rsidP="00FE7D2E">
      <w:pPr>
        <w:rPr>
          <w:rFonts w:cs="Arial"/>
          <w:sz w:val="24"/>
          <w:szCs w:val="24"/>
        </w:rPr>
      </w:pPr>
      <w:r w:rsidRPr="00FE7D2E">
        <w:rPr>
          <w:rFonts w:cs="Arial"/>
          <w:sz w:val="24"/>
          <w:szCs w:val="24"/>
        </w:rPr>
        <w:t>(d) Accessibility standards and compliance dates for recipients that are private</w:t>
      </w:r>
    </w:p>
    <w:p w14:paraId="3C13FA58" w14:textId="77777777" w:rsidR="006A591F" w:rsidRPr="00FE7D2E" w:rsidRDefault="006A591F" w:rsidP="00FE7D2E">
      <w:pPr>
        <w:rPr>
          <w:rFonts w:cs="Arial"/>
          <w:sz w:val="24"/>
          <w:szCs w:val="24"/>
        </w:rPr>
      </w:pPr>
      <w:r w:rsidRPr="00FE7D2E">
        <w:rPr>
          <w:rFonts w:cs="Arial"/>
          <w:sz w:val="24"/>
          <w:szCs w:val="24"/>
        </w:rPr>
        <w:t>entities. (3) Newly constructed or altered facilities or elements covered by paragraph (a)</w:t>
      </w:r>
    </w:p>
    <w:p w14:paraId="6577D1EA" w14:textId="77777777" w:rsidR="006A591F" w:rsidRPr="00FE7D2E" w:rsidRDefault="006A591F" w:rsidP="00FE7D2E">
      <w:pPr>
        <w:rPr>
          <w:rFonts w:cs="Arial"/>
          <w:sz w:val="24"/>
          <w:szCs w:val="24"/>
        </w:rPr>
      </w:pPr>
      <w:r w:rsidRPr="00FE7D2E">
        <w:rPr>
          <w:rFonts w:cs="Arial"/>
          <w:sz w:val="24"/>
          <w:szCs w:val="24"/>
        </w:rPr>
        <w:t>or (b) of this section that were constructed or altered before [DATE ONE YEAR FROM</w:t>
      </w:r>
    </w:p>
    <w:p w14:paraId="40BCF6F1" w14:textId="77777777" w:rsidR="006A591F" w:rsidRPr="00FE7D2E" w:rsidRDefault="006A591F" w:rsidP="00FE7D2E">
      <w:pPr>
        <w:rPr>
          <w:rFonts w:cs="Arial"/>
          <w:sz w:val="24"/>
          <w:szCs w:val="24"/>
        </w:rPr>
      </w:pPr>
      <w:r w:rsidRPr="00FE7D2E">
        <w:rPr>
          <w:rFonts w:cs="Arial"/>
          <w:sz w:val="24"/>
          <w:szCs w:val="24"/>
        </w:rPr>
        <w:t>PUBLICATION DATE OF FINAL RULE IN THE FEDERAL REGISTER ] and that do not</w:t>
      </w:r>
    </w:p>
    <w:p w14:paraId="2C5A5BD6" w14:textId="77777777" w:rsidR="006A591F" w:rsidRPr="00FE7D2E" w:rsidRDefault="006A591F" w:rsidP="00FE7D2E">
      <w:pPr>
        <w:rPr>
          <w:rFonts w:cs="Arial"/>
          <w:sz w:val="24"/>
          <w:szCs w:val="24"/>
        </w:rPr>
      </w:pPr>
      <w:r w:rsidRPr="00FE7D2E">
        <w:rPr>
          <w:rFonts w:cs="Arial"/>
          <w:sz w:val="24"/>
          <w:szCs w:val="24"/>
        </w:rPr>
        <w:t>comply with ANSI (for facilities constructed or altered between June 3, 1977, and</w:t>
      </w:r>
    </w:p>
    <w:p w14:paraId="2181E3E1" w14:textId="77777777" w:rsidR="006A591F" w:rsidRPr="00FE7D2E" w:rsidRDefault="006A591F" w:rsidP="00FE7D2E">
      <w:pPr>
        <w:rPr>
          <w:rFonts w:cs="Arial"/>
          <w:sz w:val="24"/>
          <w:szCs w:val="24"/>
        </w:rPr>
      </w:pPr>
      <w:r w:rsidRPr="00FE7D2E">
        <w:rPr>
          <w:rFonts w:cs="Arial"/>
          <w:sz w:val="24"/>
          <w:szCs w:val="24"/>
        </w:rPr>
        <w:t>January 18, 1991) or UFAS (for facilities constructed or altered on or after January 18,</w:t>
      </w:r>
    </w:p>
    <w:p w14:paraId="0F0FFEFD" w14:textId="77777777" w:rsidR="006A591F" w:rsidRPr="00FE7D2E" w:rsidRDefault="006A591F" w:rsidP="00FE7D2E">
      <w:pPr>
        <w:rPr>
          <w:rFonts w:cs="Arial"/>
          <w:sz w:val="24"/>
          <w:szCs w:val="24"/>
        </w:rPr>
      </w:pPr>
      <w:r w:rsidRPr="00FE7D2E">
        <w:rPr>
          <w:rFonts w:cs="Arial"/>
          <w:sz w:val="24"/>
          <w:szCs w:val="24"/>
        </w:rPr>
        <w:t>1991) shall, on or after [DATE ONE YEAR FROM PUBLICATION DATE OF FINAL</w:t>
      </w:r>
    </w:p>
    <w:p w14:paraId="73B5F7FD" w14:textId="77777777" w:rsidR="006A591F" w:rsidRPr="00FE7D2E" w:rsidRDefault="006A591F" w:rsidP="00FE7D2E">
      <w:pPr>
        <w:rPr>
          <w:rFonts w:cs="Arial"/>
          <w:sz w:val="24"/>
          <w:szCs w:val="24"/>
        </w:rPr>
      </w:pPr>
      <w:r w:rsidRPr="00FE7D2E">
        <w:rPr>
          <w:rFonts w:cs="Arial"/>
          <w:sz w:val="24"/>
          <w:szCs w:val="24"/>
        </w:rPr>
        <w:t>RULE IN THE FEDERAL REGISTER ], be made accessible in accordance with the</w:t>
      </w:r>
    </w:p>
    <w:p w14:paraId="26F79B13" w14:textId="77777777" w:rsidR="006A591F" w:rsidRPr="00FE7D2E" w:rsidRDefault="006A591F" w:rsidP="00FE7D2E">
      <w:pPr>
        <w:rPr>
          <w:rFonts w:cs="Arial"/>
          <w:sz w:val="24"/>
          <w:szCs w:val="24"/>
          <w:highlight w:val="yellow"/>
        </w:rPr>
      </w:pPr>
      <w:r w:rsidRPr="00FE7D2E">
        <w:rPr>
          <w:rFonts w:cs="Arial"/>
          <w:strike/>
          <w:sz w:val="24"/>
          <w:szCs w:val="24"/>
        </w:rPr>
        <w:t>2010 Standards.</w:t>
      </w:r>
      <w:r w:rsidRPr="00FE7D2E">
        <w:rPr>
          <w:rFonts w:cs="Arial"/>
          <w:sz w:val="24"/>
          <w:szCs w:val="24"/>
        </w:rPr>
        <w:t xml:space="preserve"> </w:t>
      </w:r>
      <w:r w:rsidRPr="00FE7D2E">
        <w:rPr>
          <w:rFonts w:cs="Arial"/>
          <w:sz w:val="24"/>
          <w:szCs w:val="24"/>
          <w:highlight w:val="yellow"/>
        </w:rPr>
        <w:t>International Building Code 2021 Chapter 11 and ICC A117.1 in its</w:t>
      </w:r>
    </w:p>
    <w:p w14:paraId="3BCC5076" w14:textId="0404EC9E" w:rsidR="009D40DE" w:rsidRPr="00FE7D2E" w:rsidRDefault="006A591F" w:rsidP="00FE7D2E">
      <w:pPr>
        <w:rPr>
          <w:rFonts w:cs="Arial"/>
          <w:sz w:val="24"/>
          <w:szCs w:val="24"/>
        </w:rPr>
      </w:pPr>
      <w:r w:rsidRPr="00FE7D2E">
        <w:rPr>
          <w:rFonts w:cs="Arial"/>
          <w:sz w:val="24"/>
          <w:szCs w:val="24"/>
          <w:highlight w:val="yellow"/>
        </w:rPr>
        <w:t>entirety.</w:t>
      </w:r>
    </w:p>
    <w:p w14:paraId="56782D08" w14:textId="77777777" w:rsidR="00FC5D35" w:rsidRPr="00FE7D2E" w:rsidRDefault="00FC5D35" w:rsidP="00FE7D2E">
      <w:pPr>
        <w:rPr>
          <w:rFonts w:cs="Arial"/>
          <w:sz w:val="24"/>
          <w:szCs w:val="24"/>
        </w:rPr>
      </w:pPr>
    </w:p>
    <w:p w14:paraId="4ABD81B9" w14:textId="77777777" w:rsidR="00736DA5" w:rsidRPr="00FE7D2E" w:rsidRDefault="00736DA5" w:rsidP="00FE7D2E">
      <w:pPr>
        <w:rPr>
          <w:rFonts w:cs="Arial"/>
          <w:sz w:val="24"/>
          <w:szCs w:val="24"/>
        </w:rPr>
      </w:pPr>
    </w:p>
    <w:p w14:paraId="0CBA5D07" w14:textId="3114E926" w:rsidR="003C0FA7" w:rsidRPr="00FE7D2E" w:rsidRDefault="00FE5480" w:rsidP="00FE7D2E">
      <w:pPr>
        <w:rPr>
          <w:rFonts w:cs="Arial"/>
          <w:b/>
          <w:bCs/>
          <w:color w:val="000000"/>
          <w:sz w:val="24"/>
          <w:szCs w:val="24"/>
        </w:rPr>
      </w:pPr>
      <w:r w:rsidRPr="00FE7D2E">
        <w:rPr>
          <w:rFonts w:cs="Arial"/>
          <w:b/>
          <w:bCs/>
          <w:color w:val="000000" w:themeColor="text1"/>
          <w:sz w:val="24"/>
          <w:szCs w:val="24"/>
        </w:rPr>
        <w:t>§ 84.56</w:t>
      </w:r>
      <w:r w:rsidRPr="00FE7D2E">
        <w:rPr>
          <w:rFonts w:cs="Arial"/>
          <w:b/>
          <w:bCs/>
          <w:color w:val="000000" w:themeColor="text1"/>
          <w:sz w:val="24"/>
          <w:szCs w:val="24"/>
        </w:rPr>
        <w:t xml:space="preserve">: </w:t>
      </w:r>
      <w:r w:rsidRPr="00FE7D2E">
        <w:rPr>
          <w:rFonts w:cs="Arial"/>
          <w:b/>
          <w:bCs/>
          <w:color w:val="000000" w:themeColor="text1"/>
          <w:sz w:val="24"/>
          <w:szCs w:val="24"/>
          <w:highlight w:val="white"/>
        </w:rPr>
        <w:t xml:space="preserve">Medical Treatment </w:t>
      </w:r>
    </w:p>
    <w:p w14:paraId="3E9BE91B" w14:textId="77777777" w:rsidR="00BF39C0" w:rsidRPr="00FE7D2E" w:rsidRDefault="00BF39C0" w:rsidP="00FE7D2E">
      <w:pPr>
        <w:numPr>
          <w:ilvl w:val="0"/>
          <w:numId w:val="7"/>
        </w:numPr>
        <w:pBdr>
          <w:top w:val="nil"/>
          <w:left w:val="nil"/>
          <w:bottom w:val="nil"/>
          <w:right w:val="nil"/>
          <w:between w:val="nil"/>
        </w:pBdr>
        <w:rPr>
          <w:rFonts w:cs="Arial"/>
          <w:i/>
          <w:color w:val="000000" w:themeColor="text1"/>
          <w:sz w:val="24"/>
          <w:szCs w:val="24"/>
        </w:rPr>
      </w:pPr>
      <w:r w:rsidRPr="00FE7D2E">
        <w:rPr>
          <w:rFonts w:cs="Arial"/>
          <w:i/>
          <w:color w:val="000000" w:themeColor="text1"/>
          <w:sz w:val="24"/>
          <w:szCs w:val="24"/>
        </w:rPr>
        <w:t>Medical Treatment Question 5: The Department also seeks comment on whether the term ‘‘medical treatment’’ adequately encompasses the range of services that should be covered under this nondiscrimination provision.</w:t>
      </w:r>
    </w:p>
    <w:p w14:paraId="7D805077" w14:textId="77777777" w:rsidR="00BF39C0" w:rsidRPr="00FE7D2E" w:rsidRDefault="00BF39C0" w:rsidP="00FE7D2E">
      <w:pPr>
        <w:rPr>
          <w:rFonts w:cs="Arial"/>
          <w:color w:val="000000"/>
          <w:sz w:val="24"/>
          <w:szCs w:val="24"/>
        </w:rPr>
      </w:pPr>
    </w:p>
    <w:p w14:paraId="77C836DD" w14:textId="442D5644" w:rsidR="007A2F62" w:rsidRPr="00FE7D2E" w:rsidRDefault="00C40ED2" w:rsidP="00FE7D2E">
      <w:pPr>
        <w:rPr>
          <w:rFonts w:cs="Arial"/>
          <w:color w:val="000000"/>
          <w:sz w:val="24"/>
          <w:szCs w:val="24"/>
        </w:rPr>
      </w:pPr>
      <w:r w:rsidRPr="00FE7D2E">
        <w:rPr>
          <w:rFonts w:cs="Arial"/>
          <w:color w:val="000000"/>
          <w:sz w:val="24"/>
          <w:szCs w:val="24"/>
        </w:rPr>
        <w:t>Reproductive Care</w:t>
      </w:r>
      <w:r w:rsidR="00B227CF" w:rsidRPr="00FE7D2E">
        <w:rPr>
          <w:rFonts w:cs="Arial"/>
          <w:color w:val="000000"/>
          <w:sz w:val="24"/>
          <w:szCs w:val="24"/>
        </w:rPr>
        <w:t xml:space="preserve"> for People with Disabilities </w:t>
      </w:r>
    </w:p>
    <w:p w14:paraId="27185FE0" w14:textId="77777777" w:rsidR="003970C9" w:rsidRPr="00FE7D2E" w:rsidRDefault="003970C9" w:rsidP="00FE7D2E">
      <w:pPr>
        <w:rPr>
          <w:rFonts w:cs="Arial"/>
          <w:color w:val="000000"/>
          <w:sz w:val="24"/>
          <w:szCs w:val="24"/>
        </w:rPr>
      </w:pPr>
    </w:p>
    <w:p w14:paraId="6F6D0D69" w14:textId="3A16EAF4" w:rsidR="003970C9" w:rsidRPr="00FE7D2E" w:rsidRDefault="007A2F62" w:rsidP="00FE7D2E">
      <w:pPr>
        <w:rPr>
          <w:rFonts w:cs="Arial"/>
          <w:color w:val="000000"/>
          <w:sz w:val="24"/>
          <w:szCs w:val="24"/>
        </w:rPr>
      </w:pPr>
      <w:r w:rsidRPr="00FE7D2E">
        <w:rPr>
          <w:rFonts w:cs="Arial"/>
          <w:sz w:val="24"/>
          <w:szCs w:val="24"/>
        </w:rPr>
        <w:t xml:space="preserve">In light of the Supreme Court’s decision in </w:t>
      </w:r>
      <w:r w:rsidRPr="00FE7D2E">
        <w:rPr>
          <w:rFonts w:cs="Arial"/>
          <w:i/>
          <w:iCs/>
          <w:sz w:val="24"/>
          <w:szCs w:val="24"/>
        </w:rPr>
        <w:t>Dobbs v. Jackson Women’s Health Org</w:t>
      </w:r>
      <w:r w:rsidRPr="00FE7D2E">
        <w:rPr>
          <w:rFonts w:cs="Arial"/>
          <w:sz w:val="24"/>
          <w:szCs w:val="24"/>
        </w:rPr>
        <w:t>. that stripped Americans of their established right to abortion care</w:t>
      </w:r>
      <w:r w:rsidR="002B163D" w:rsidRPr="00FE7D2E">
        <w:rPr>
          <w:rFonts w:cs="Arial"/>
          <w:sz w:val="24"/>
          <w:szCs w:val="24"/>
        </w:rPr>
        <w:t xml:space="preserve">, </w:t>
      </w:r>
      <w:r w:rsidR="00687797" w:rsidRPr="00FE7D2E">
        <w:rPr>
          <w:rFonts w:cs="Arial"/>
          <w:sz w:val="24"/>
          <w:szCs w:val="24"/>
        </w:rPr>
        <w:t xml:space="preserve">and </w:t>
      </w:r>
      <w:r w:rsidRPr="00FE7D2E">
        <w:rPr>
          <w:rFonts w:cs="Arial"/>
          <w:sz w:val="24"/>
          <w:szCs w:val="24"/>
        </w:rPr>
        <w:t xml:space="preserve">the </w:t>
      </w:r>
      <w:r w:rsidR="00687797" w:rsidRPr="00FE7D2E">
        <w:rPr>
          <w:rFonts w:cs="Arial"/>
          <w:sz w:val="24"/>
          <w:szCs w:val="24"/>
        </w:rPr>
        <w:t xml:space="preserve">multiple </w:t>
      </w:r>
      <w:r w:rsidRPr="00FE7D2E">
        <w:rPr>
          <w:rFonts w:cs="Arial"/>
          <w:sz w:val="24"/>
          <w:szCs w:val="24"/>
        </w:rPr>
        <w:t xml:space="preserve">state abortion </w:t>
      </w:r>
      <w:r w:rsidRPr="00FE7D2E">
        <w:rPr>
          <w:rFonts w:cs="Arial"/>
          <w:sz w:val="24"/>
          <w:szCs w:val="24"/>
        </w:rPr>
        <w:lastRenderedPageBreak/>
        <w:t>bans and limitations on access to reproductive care</w:t>
      </w:r>
      <w:r w:rsidR="00687797" w:rsidRPr="00FE7D2E">
        <w:rPr>
          <w:rFonts w:cs="Arial"/>
          <w:sz w:val="24"/>
          <w:szCs w:val="24"/>
        </w:rPr>
        <w:t xml:space="preserve"> that soon followed</w:t>
      </w:r>
      <w:r w:rsidRPr="00FE7D2E">
        <w:rPr>
          <w:rFonts w:cs="Arial"/>
          <w:sz w:val="24"/>
          <w:szCs w:val="24"/>
        </w:rPr>
        <w:t xml:space="preserve">, DREDF seeks to highlight the </w:t>
      </w:r>
      <w:r w:rsidR="00E401D1">
        <w:rPr>
          <w:rFonts w:cs="Arial"/>
          <w:sz w:val="24"/>
          <w:szCs w:val="24"/>
        </w:rPr>
        <w:t xml:space="preserve">explicit </w:t>
      </w:r>
      <w:r w:rsidRPr="00FE7D2E">
        <w:rPr>
          <w:rFonts w:cs="Arial"/>
          <w:sz w:val="24"/>
          <w:szCs w:val="24"/>
        </w:rPr>
        <w:t>application of these rules to the reproductive health care space</w:t>
      </w:r>
      <w:r w:rsidR="00877453" w:rsidRPr="00FE7D2E">
        <w:rPr>
          <w:rFonts w:cs="Arial"/>
          <w:sz w:val="24"/>
          <w:szCs w:val="24"/>
        </w:rPr>
        <w:t xml:space="preserve"> and the inclusion of full reproductive health care services as a vital component of “medical treatment.”</w:t>
      </w:r>
      <w:r w:rsidRPr="00FE7D2E">
        <w:rPr>
          <w:rFonts w:cs="Arial"/>
          <w:sz w:val="24"/>
          <w:szCs w:val="24"/>
        </w:rPr>
        <w:t xml:space="preserve"> DREDF endorses the Sexual and Reproductive Health, Rights, and Gender Justice community comments that highlight important considerations for the Department at the intersection of reproductive justice and disability justice. One additional consideration</w:t>
      </w:r>
      <w:r w:rsidR="00877453" w:rsidRPr="00FE7D2E">
        <w:rPr>
          <w:rFonts w:cs="Arial"/>
          <w:sz w:val="24"/>
          <w:szCs w:val="24"/>
        </w:rPr>
        <w:t xml:space="preserve"> we wish to raise here</w:t>
      </w:r>
      <w:r w:rsidRPr="00FE7D2E">
        <w:rPr>
          <w:rFonts w:cs="Arial"/>
          <w:sz w:val="24"/>
          <w:szCs w:val="24"/>
        </w:rPr>
        <w:t xml:space="preserve"> is the application of the rules to the provision of abortion care under medical emergency exceptions to state-specific abortion bans. Although people with disabilities get pregnant at similar rates as non-disabled people, they are at higher risk than nondisabled people for severe maternal morbidities and maternal mortality once pregnant.</w:t>
      </w:r>
      <w:r w:rsidRPr="00FE7D2E">
        <w:rPr>
          <w:rFonts w:cs="Arial"/>
          <w:i/>
          <w:iCs/>
          <w:sz w:val="24"/>
          <w:szCs w:val="24"/>
        </w:rPr>
        <w:t xml:space="preserve"> </w:t>
      </w:r>
      <w:r w:rsidRPr="00FE7D2E">
        <w:rPr>
          <w:rFonts w:cs="Arial"/>
          <w:i/>
          <w:iCs/>
          <w:color w:val="000000"/>
          <w:sz w:val="24"/>
          <w:szCs w:val="24"/>
        </w:rPr>
        <w:t xml:space="preserve">See </w:t>
      </w:r>
      <w:r w:rsidRPr="00FE7D2E">
        <w:rPr>
          <w:rFonts w:cs="Arial"/>
          <w:color w:val="000000"/>
          <w:sz w:val="24"/>
          <w:szCs w:val="24"/>
        </w:rPr>
        <w:t xml:space="preserve">Willi Horner-Johnson, </w:t>
      </w:r>
      <w:r w:rsidRPr="00FE7D2E">
        <w:rPr>
          <w:rFonts w:cs="Arial"/>
          <w:i/>
          <w:iCs/>
          <w:color w:val="000000"/>
          <w:sz w:val="24"/>
          <w:szCs w:val="24"/>
        </w:rPr>
        <w:t>et al.</w:t>
      </w:r>
      <w:r w:rsidRPr="00FE7D2E">
        <w:rPr>
          <w:rFonts w:cs="Arial"/>
          <w:color w:val="000000"/>
          <w:sz w:val="24"/>
          <w:szCs w:val="24"/>
        </w:rPr>
        <w:t xml:space="preserve">, </w:t>
      </w:r>
      <w:r w:rsidRPr="00FE7D2E">
        <w:rPr>
          <w:rFonts w:cs="Arial"/>
          <w:i/>
          <w:iCs/>
          <w:color w:val="000000"/>
          <w:sz w:val="24"/>
          <w:szCs w:val="24"/>
        </w:rPr>
        <w:t>Pregnancy among U.S. Women: Differences by Presence, Type, and Complexity of Disability</w:t>
      </w:r>
      <w:r w:rsidRPr="00FE7D2E">
        <w:rPr>
          <w:rFonts w:cs="Arial"/>
          <w:color w:val="000000"/>
          <w:sz w:val="24"/>
          <w:szCs w:val="24"/>
        </w:rPr>
        <w:t>, 214(4) Am. J. Obstet. &amp; Gynecol. 529e.1, 529e.8 (Apr. 2016) (describing evidence that people with disabilities face increased risks of health problems during pregnancy and poorer pregnancy outcomes)</w:t>
      </w:r>
      <w:r w:rsidRPr="00FE7D2E">
        <w:rPr>
          <w:rFonts w:cs="Arial"/>
          <w:sz w:val="24"/>
          <w:szCs w:val="24"/>
        </w:rPr>
        <w:t xml:space="preserve">; </w:t>
      </w:r>
      <w:r w:rsidRPr="00FE7D2E">
        <w:rPr>
          <w:rFonts w:cs="Arial"/>
          <w:i/>
          <w:iCs/>
          <w:sz w:val="24"/>
          <w:szCs w:val="24"/>
        </w:rPr>
        <w:t xml:space="preserve">see also </w:t>
      </w:r>
      <w:r w:rsidRPr="00FE7D2E">
        <w:rPr>
          <w:rFonts w:cs="Arial"/>
          <w:sz w:val="24"/>
          <w:szCs w:val="24"/>
        </w:rPr>
        <w:t xml:space="preserve"> Jessica Gleason et al., </w:t>
      </w:r>
      <w:r w:rsidRPr="00FE7D2E">
        <w:rPr>
          <w:rFonts w:cs="Arial"/>
          <w:i/>
          <w:iCs/>
          <w:sz w:val="24"/>
          <w:szCs w:val="24"/>
        </w:rPr>
        <w:t>Risk of Adverse Maternal Outcomes in Pregnant Women with Disabilities</w:t>
      </w:r>
      <w:r w:rsidRPr="00FE7D2E">
        <w:rPr>
          <w:rFonts w:cs="Arial"/>
          <w:sz w:val="24"/>
          <w:szCs w:val="24"/>
        </w:rPr>
        <w:t xml:space="preserve">, JAMA Network Open (2021), </w:t>
      </w:r>
      <w:hyperlink r:id="rId8" w:tgtFrame="_blank" w:history="1">
        <w:r w:rsidRPr="00FE7D2E">
          <w:rPr>
            <w:rStyle w:val="Hyperlink"/>
            <w:rFonts w:cs="Arial"/>
            <w:sz w:val="24"/>
            <w:szCs w:val="24"/>
          </w:rPr>
          <w:t>https://tinyurl.com/58fxzvh9</w:t>
        </w:r>
      </w:hyperlink>
      <w:r w:rsidRPr="00FE7D2E">
        <w:rPr>
          <w:rFonts w:cs="Arial"/>
          <w:sz w:val="24"/>
          <w:szCs w:val="24"/>
        </w:rPr>
        <w:t xml:space="preserve"> (reporting findings that women with disabilities had higher risk of maternal mortality and all severe maternal morbidities, including severe preeclampsia/eclampsia, hemorrhage, fever, thromboembolism, cardiovascular events, and infection than non-disabled people). As such, people with disabilities need access to abortion under the medical exceptions to abortion bans at a higher rate than non-disabled people. Exceptions that are </w:t>
      </w:r>
      <w:r w:rsidR="007342A8" w:rsidRPr="00FE7D2E">
        <w:rPr>
          <w:rFonts w:cs="Arial"/>
          <w:sz w:val="24"/>
          <w:szCs w:val="24"/>
        </w:rPr>
        <w:t xml:space="preserve">ambivalent or unclear in affording </w:t>
      </w:r>
      <w:r w:rsidRPr="00FE7D2E">
        <w:rPr>
          <w:rFonts w:cs="Arial"/>
          <w:sz w:val="24"/>
          <w:szCs w:val="24"/>
        </w:rPr>
        <w:t>doctors</w:t>
      </w:r>
      <w:r w:rsidR="007342A8" w:rsidRPr="00FE7D2E">
        <w:rPr>
          <w:rFonts w:cs="Arial"/>
          <w:sz w:val="24"/>
          <w:szCs w:val="24"/>
        </w:rPr>
        <w:t xml:space="preserve"> the ability</w:t>
      </w:r>
      <w:r w:rsidRPr="00FE7D2E">
        <w:rPr>
          <w:rFonts w:cs="Arial"/>
          <w:sz w:val="24"/>
          <w:szCs w:val="24"/>
        </w:rPr>
        <w:t xml:space="preserve"> to provide abortions as they deem necessary in their professional and good faith judgment</w:t>
      </w:r>
      <w:r w:rsidR="007342A8" w:rsidRPr="00FE7D2E">
        <w:rPr>
          <w:rFonts w:cs="Arial"/>
          <w:sz w:val="24"/>
          <w:szCs w:val="24"/>
        </w:rPr>
        <w:t>,</w:t>
      </w:r>
      <w:r w:rsidRPr="00FE7D2E">
        <w:rPr>
          <w:rFonts w:cs="Arial"/>
          <w:sz w:val="24"/>
          <w:szCs w:val="24"/>
        </w:rPr>
        <w:t xml:space="preserve"> to preserve the health or protect the life of the pregnant person</w:t>
      </w:r>
      <w:r w:rsidR="00887699" w:rsidRPr="00FE7D2E">
        <w:rPr>
          <w:rFonts w:cs="Arial"/>
          <w:sz w:val="24"/>
          <w:szCs w:val="24"/>
        </w:rPr>
        <w:t xml:space="preserve">, </w:t>
      </w:r>
      <w:r w:rsidRPr="00FE7D2E">
        <w:rPr>
          <w:rFonts w:cs="Arial"/>
          <w:sz w:val="24"/>
          <w:szCs w:val="24"/>
        </w:rPr>
        <w:t>discriminate against people with disabilities by disproportionately placing pregnant people with disabilities at risk of death and negative outcomes. </w:t>
      </w:r>
    </w:p>
    <w:p w14:paraId="3D6B8975" w14:textId="77777777" w:rsidR="00CB44EA" w:rsidRPr="00FE7D2E" w:rsidRDefault="00CB44EA" w:rsidP="00FE7D2E">
      <w:pPr>
        <w:rPr>
          <w:rFonts w:cs="Arial"/>
          <w:sz w:val="24"/>
          <w:szCs w:val="24"/>
        </w:rPr>
      </w:pPr>
    </w:p>
    <w:p w14:paraId="44B4ECBA" w14:textId="77777777" w:rsidR="00244CB9" w:rsidRPr="00FE7D2E" w:rsidRDefault="00244CB9" w:rsidP="00FE7D2E">
      <w:pPr>
        <w:rPr>
          <w:rFonts w:cs="Arial"/>
          <w:sz w:val="24"/>
          <w:szCs w:val="24"/>
        </w:rPr>
      </w:pPr>
    </w:p>
    <w:p w14:paraId="61852432" w14:textId="2F4DD413" w:rsidR="00CB44EA" w:rsidRPr="00FE7D2E" w:rsidRDefault="00BF275D" w:rsidP="00FE7D2E">
      <w:pPr>
        <w:rPr>
          <w:rFonts w:cs="Arial"/>
          <w:b/>
          <w:bCs/>
          <w:sz w:val="24"/>
          <w:szCs w:val="24"/>
        </w:rPr>
      </w:pPr>
      <w:r w:rsidRPr="00FE7D2E">
        <w:rPr>
          <w:rFonts w:cs="Arial"/>
          <w:b/>
          <w:bCs/>
          <w:color w:val="000000" w:themeColor="text1"/>
          <w:sz w:val="24"/>
          <w:szCs w:val="24"/>
        </w:rPr>
        <w:t>§ 84.92(a)</w:t>
      </w:r>
      <w:r w:rsidR="007A2CAD" w:rsidRPr="00FE7D2E">
        <w:rPr>
          <w:rFonts w:cs="Arial"/>
          <w:b/>
          <w:bCs/>
          <w:color w:val="000000" w:themeColor="text1"/>
          <w:sz w:val="24"/>
          <w:szCs w:val="24"/>
        </w:rPr>
        <w:t xml:space="preserve">: </w:t>
      </w:r>
      <w:r w:rsidR="007A2CAD" w:rsidRPr="00FE7D2E">
        <w:rPr>
          <w:rFonts w:cs="Arial"/>
          <w:b/>
          <w:bCs/>
          <w:color w:val="000000" w:themeColor="text1"/>
          <w:sz w:val="24"/>
          <w:szCs w:val="24"/>
        </w:rPr>
        <w:t>Requirements for newly purchased, leased, or otherwise acquired medical diagnostic equipment</w:t>
      </w:r>
    </w:p>
    <w:p w14:paraId="1482BA1E" w14:textId="77777777" w:rsidR="00CB44EA" w:rsidRPr="00FE7D2E" w:rsidRDefault="00CB44EA" w:rsidP="00FE7D2E">
      <w:pPr>
        <w:rPr>
          <w:rFonts w:cs="Arial"/>
          <w:color w:val="000000"/>
          <w:sz w:val="24"/>
          <w:szCs w:val="24"/>
        </w:rPr>
      </w:pPr>
    </w:p>
    <w:p w14:paraId="2BC74C39" w14:textId="77777777" w:rsidR="003D22CB" w:rsidRPr="00FE7D2E" w:rsidRDefault="003D22CB" w:rsidP="00FE7D2E">
      <w:pPr>
        <w:widowControl w:val="0"/>
        <w:numPr>
          <w:ilvl w:val="0"/>
          <w:numId w:val="7"/>
        </w:numPr>
        <w:pBdr>
          <w:top w:val="nil"/>
          <w:left w:val="nil"/>
          <w:bottom w:val="nil"/>
          <w:right w:val="nil"/>
          <w:between w:val="nil"/>
        </w:pBdr>
        <w:tabs>
          <w:tab w:val="left" w:pos="840"/>
        </w:tabs>
        <w:rPr>
          <w:rFonts w:cs="Arial"/>
          <w:i/>
          <w:color w:val="000000" w:themeColor="text1"/>
          <w:sz w:val="24"/>
          <w:szCs w:val="24"/>
        </w:rPr>
      </w:pPr>
      <w:r w:rsidRPr="00FE7D2E">
        <w:rPr>
          <w:rFonts w:cs="Arial"/>
          <w:i/>
          <w:color w:val="000000" w:themeColor="text1"/>
          <w:sz w:val="24"/>
          <w:szCs w:val="24"/>
        </w:rPr>
        <w:t>MDE Question 5: The Department seeks public comment on whether the proposed approach to dispersion of accessible MDE is sufficient to meet the needs of individuals with disabilities, including the need to receive different types of specialized medical care.</w:t>
      </w:r>
    </w:p>
    <w:p w14:paraId="17C3E1E7" w14:textId="77777777" w:rsidR="003D22CB" w:rsidRPr="00FE7D2E" w:rsidRDefault="003D22CB" w:rsidP="00FE7D2E">
      <w:pPr>
        <w:widowControl w:val="0"/>
        <w:tabs>
          <w:tab w:val="left" w:pos="840"/>
        </w:tabs>
        <w:rPr>
          <w:rFonts w:cs="Arial"/>
          <w:color w:val="000000" w:themeColor="text1"/>
          <w:sz w:val="24"/>
          <w:szCs w:val="24"/>
        </w:rPr>
      </w:pPr>
    </w:p>
    <w:p w14:paraId="53D87CBD" w14:textId="6F4953F2" w:rsidR="00CC2279" w:rsidRPr="00FE7D2E" w:rsidRDefault="00CC2279" w:rsidP="00FE7D2E">
      <w:pPr>
        <w:widowControl w:val="0"/>
        <w:tabs>
          <w:tab w:val="left" w:pos="840"/>
        </w:tabs>
        <w:rPr>
          <w:rFonts w:cs="Arial"/>
          <w:color w:val="000000" w:themeColor="text1"/>
          <w:sz w:val="24"/>
          <w:szCs w:val="24"/>
        </w:rPr>
      </w:pPr>
      <w:r w:rsidRPr="00FE7D2E">
        <w:rPr>
          <w:rFonts w:cs="Arial"/>
          <w:color w:val="000000" w:themeColor="text1"/>
          <w:sz w:val="24"/>
          <w:szCs w:val="24"/>
        </w:rPr>
        <w:t>We s</w:t>
      </w:r>
      <w:r w:rsidR="00AB0B38" w:rsidRPr="00FE7D2E">
        <w:rPr>
          <w:rFonts w:cs="Arial"/>
          <w:color w:val="000000" w:themeColor="text1"/>
          <w:sz w:val="24"/>
          <w:szCs w:val="24"/>
        </w:rPr>
        <w:t xml:space="preserve">hare the CCD comment’s commitment and recommendation </w:t>
      </w:r>
      <w:r w:rsidR="00B33A8D" w:rsidRPr="00FE7D2E">
        <w:rPr>
          <w:rFonts w:cs="Arial"/>
          <w:color w:val="000000" w:themeColor="text1"/>
          <w:sz w:val="24"/>
          <w:szCs w:val="24"/>
        </w:rPr>
        <w:t>of</w:t>
      </w:r>
      <w:r w:rsidR="00AB0B38" w:rsidRPr="00FE7D2E">
        <w:rPr>
          <w:rFonts w:cs="Arial"/>
          <w:color w:val="000000" w:themeColor="text1"/>
          <w:sz w:val="24"/>
          <w:szCs w:val="24"/>
        </w:rPr>
        <w:t xml:space="preserve"> achieving 100% medical equipment accessibility with </w:t>
      </w:r>
      <w:r w:rsidR="00C84672" w:rsidRPr="00FE7D2E">
        <w:rPr>
          <w:rFonts w:cs="Arial"/>
          <w:color w:val="000000" w:themeColor="text1"/>
          <w:sz w:val="24"/>
          <w:szCs w:val="24"/>
        </w:rPr>
        <w:t xml:space="preserve">the turnover and acquisition of new equipment, whether by purchase, rental, lease, or </w:t>
      </w:r>
      <w:r w:rsidR="003C0465" w:rsidRPr="00FE7D2E">
        <w:rPr>
          <w:rFonts w:cs="Arial"/>
          <w:color w:val="000000" w:themeColor="text1"/>
          <w:sz w:val="24"/>
          <w:szCs w:val="24"/>
        </w:rPr>
        <w:t xml:space="preserve">any other arrangement such as trade-in. </w:t>
      </w:r>
      <w:r w:rsidR="00B33A8D" w:rsidRPr="00FE7D2E">
        <w:rPr>
          <w:rFonts w:cs="Arial"/>
          <w:color w:val="000000" w:themeColor="text1"/>
          <w:sz w:val="24"/>
          <w:szCs w:val="24"/>
        </w:rPr>
        <w:t>However, in the interim period during before 100% accessible medical equipment has been achieved,</w:t>
      </w:r>
      <w:r w:rsidR="00160822" w:rsidRPr="00FE7D2E">
        <w:rPr>
          <w:rFonts w:cs="Arial"/>
          <w:color w:val="000000" w:themeColor="text1"/>
          <w:sz w:val="24"/>
          <w:szCs w:val="24"/>
        </w:rPr>
        <w:t xml:space="preserve"> DREDF </w:t>
      </w:r>
      <w:r w:rsidR="00160822" w:rsidRPr="00FE7D2E">
        <w:rPr>
          <w:rFonts w:cs="Arial"/>
          <w:color w:val="000000" w:themeColor="text1"/>
          <w:sz w:val="24"/>
          <w:szCs w:val="24"/>
        </w:rPr>
        <w:lastRenderedPageBreak/>
        <w:t xml:space="preserve">recommends dispersion requirements for accessible weight scales, exam tables, and other medical equipment be applied to </w:t>
      </w:r>
      <w:r w:rsidR="00247ACC" w:rsidRPr="00FE7D2E">
        <w:rPr>
          <w:rFonts w:cs="Arial"/>
          <w:color w:val="000000" w:themeColor="text1"/>
          <w:sz w:val="24"/>
          <w:szCs w:val="24"/>
        </w:rPr>
        <w:t>every department, unit, provider, or other subpart of a</w:t>
      </w:r>
      <w:r w:rsidR="00BD1E7C" w:rsidRPr="00FE7D2E">
        <w:rPr>
          <w:rFonts w:cs="Arial"/>
          <w:color w:val="000000" w:themeColor="text1"/>
          <w:sz w:val="24"/>
          <w:szCs w:val="24"/>
        </w:rPr>
        <w:t xml:space="preserve"> larger entity such as a hospital or hospital system that has the capacity to manage its own booking system. That is, </w:t>
      </w:r>
      <w:r w:rsidR="00BB696D" w:rsidRPr="00FE7D2E">
        <w:rPr>
          <w:rFonts w:cs="Arial"/>
          <w:color w:val="000000" w:themeColor="text1"/>
          <w:sz w:val="24"/>
          <w:szCs w:val="24"/>
        </w:rPr>
        <w:t>a large</w:t>
      </w:r>
      <w:r w:rsidR="00323281" w:rsidRPr="00FE7D2E">
        <w:rPr>
          <w:rFonts w:cs="Arial"/>
          <w:color w:val="000000" w:themeColor="text1"/>
          <w:sz w:val="24"/>
          <w:szCs w:val="24"/>
        </w:rPr>
        <w:t xml:space="preserve"> “optical department” </w:t>
      </w:r>
      <w:r w:rsidR="00BB696D" w:rsidRPr="00FE7D2E">
        <w:rPr>
          <w:rFonts w:cs="Arial"/>
          <w:color w:val="000000" w:themeColor="text1"/>
          <w:sz w:val="24"/>
          <w:szCs w:val="24"/>
        </w:rPr>
        <w:t xml:space="preserve">or facility </w:t>
      </w:r>
      <w:r w:rsidR="00323281" w:rsidRPr="00FE7D2E">
        <w:rPr>
          <w:rFonts w:cs="Arial"/>
          <w:color w:val="000000" w:themeColor="text1"/>
          <w:sz w:val="24"/>
          <w:szCs w:val="24"/>
        </w:rPr>
        <w:t xml:space="preserve">that encompasses opticians, </w:t>
      </w:r>
      <w:r w:rsidR="00191CFE" w:rsidRPr="00FE7D2E">
        <w:rPr>
          <w:rFonts w:cs="Arial"/>
          <w:color w:val="000000" w:themeColor="text1"/>
          <w:sz w:val="24"/>
          <w:szCs w:val="24"/>
        </w:rPr>
        <w:t xml:space="preserve">ophthalmologists, </w:t>
      </w:r>
      <w:r w:rsidR="00BB696D" w:rsidRPr="00FE7D2E">
        <w:rPr>
          <w:rFonts w:cs="Arial"/>
          <w:color w:val="000000" w:themeColor="text1"/>
          <w:sz w:val="24"/>
          <w:szCs w:val="24"/>
        </w:rPr>
        <w:t>a glasses retailer, and</w:t>
      </w:r>
      <w:r w:rsidR="006B5B83" w:rsidRPr="00FE7D2E">
        <w:rPr>
          <w:rFonts w:cs="Arial"/>
          <w:color w:val="000000" w:themeColor="text1"/>
          <w:sz w:val="24"/>
          <w:szCs w:val="24"/>
        </w:rPr>
        <w:t xml:space="preserve"> additional specialists should have </w:t>
      </w:r>
      <w:r w:rsidR="00C2316A" w:rsidRPr="00FE7D2E">
        <w:rPr>
          <w:rFonts w:cs="Arial"/>
          <w:color w:val="000000" w:themeColor="text1"/>
          <w:sz w:val="24"/>
          <w:szCs w:val="24"/>
        </w:rPr>
        <w:t xml:space="preserve">a minimum complete set of </w:t>
      </w:r>
      <w:r w:rsidR="006B5B83" w:rsidRPr="00FE7D2E">
        <w:rPr>
          <w:rFonts w:cs="Arial"/>
          <w:color w:val="000000" w:themeColor="text1"/>
          <w:sz w:val="24"/>
          <w:szCs w:val="24"/>
        </w:rPr>
        <w:t xml:space="preserve">accessible equipment for each unit within the department that is booking patients. Otherwise, </w:t>
      </w:r>
      <w:r w:rsidR="00C00483" w:rsidRPr="00FE7D2E">
        <w:rPr>
          <w:rFonts w:cs="Arial"/>
          <w:color w:val="000000" w:themeColor="text1"/>
          <w:sz w:val="24"/>
          <w:szCs w:val="24"/>
        </w:rPr>
        <w:t>the sharing of medical equipment, even if it can b</w:t>
      </w:r>
      <w:r w:rsidR="00047E9E" w:rsidRPr="00FE7D2E">
        <w:rPr>
          <w:rFonts w:cs="Arial"/>
          <w:color w:val="000000" w:themeColor="text1"/>
          <w:sz w:val="24"/>
          <w:szCs w:val="24"/>
        </w:rPr>
        <w:t xml:space="preserve">e transferred between booking units, will be a logistical nightmare and </w:t>
      </w:r>
      <w:r w:rsidR="00392D07" w:rsidRPr="00FE7D2E">
        <w:rPr>
          <w:rFonts w:cs="Arial"/>
          <w:color w:val="000000" w:themeColor="text1"/>
          <w:sz w:val="24"/>
          <w:szCs w:val="24"/>
        </w:rPr>
        <w:t xml:space="preserve">lead to inevitable </w:t>
      </w:r>
      <w:r w:rsidR="005F50FD" w:rsidRPr="00FE7D2E">
        <w:rPr>
          <w:rFonts w:cs="Arial"/>
          <w:color w:val="000000" w:themeColor="text1"/>
          <w:sz w:val="24"/>
          <w:szCs w:val="24"/>
        </w:rPr>
        <w:t xml:space="preserve">delays and </w:t>
      </w:r>
      <w:r w:rsidR="00392D07" w:rsidRPr="00FE7D2E">
        <w:rPr>
          <w:rFonts w:cs="Arial"/>
          <w:color w:val="000000" w:themeColor="text1"/>
          <w:sz w:val="24"/>
          <w:szCs w:val="24"/>
        </w:rPr>
        <w:t>conflicts between patient use</w:t>
      </w:r>
      <w:r w:rsidR="005F50FD" w:rsidRPr="00FE7D2E">
        <w:rPr>
          <w:rFonts w:cs="Arial"/>
          <w:color w:val="000000" w:themeColor="text1"/>
          <w:sz w:val="24"/>
          <w:szCs w:val="24"/>
        </w:rPr>
        <w:t xml:space="preserve">. </w:t>
      </w:r>
    </w:p>
    <w:p w14:paraId="037A8B17" w14:textId="77777777" w:rsidR="00CF71CC" w:rsidRPr="00FE7D2E" w:rsidRDefault="00CF71CC" w:rsidP="00FE7D2E">
      <w:pPr>
        <w:widowControl w:val="0"/>
        <w:tabs>
          <w:tab w:val="left" w:pos="840"/>
        </w:tabs>
        <w:rPr>
          <w:rFonts w:cs="Arial"/>
          <w:color w:val="000000" w:themeColor="text1"/>
          <w:sz w:val="24"/>
          <w:szCs w:val="24"/>
        </w:rPr>
      </w:pPr>
    </w:p>
    <w:p w14:paraId="3E475216" w14:textId="524F00F8" w:rsidR="00CF71CC" w:rsidRPr="00FE7D2E" w:rsidRDefault="0007109A" w:rsidP="00FE7D2E">
      <w:pPr>
        <w:widowControl w:val="0"/>
        <w:tabs>
          <w:tab w:val="left" w:pos="840"/>
        </w:tabs>
        <w:rPr>
          <w:rFonts w:cs="Arial"/>
          <w:color w:val="000000" w:themeColor="text1"/>
          <w:sz w:val="24"/>
          <w:szCs w:val="24"/>
        </w:rPr>
      </w:pPr>
      <w:r w:rsidRPr="00FE7D2E">
        <w:rPr>
          <w:rFonts w:cs="Arial"/>
          <w:color w:val="000000" w:themeColor="text1"/>
          <w:sz w:val="24"/>
          <w:szCs w:val="24"/>
        </w:rPr>
        <w:t>W</w:t>
      </w:r>
      <w:r w:rsidR="00CF71CC" w:rsidRPr="00FE7D2E">
        <w:rPr>
          <w:rFonts w:cs="Arial"/>
          <w:color w:val="000000" w:themeColor="text1"/>
          <w:sz w:val="24"/>
          <w:szCs w:val="24"/>
        </w:rPr>
        <w:t>here equipment can</w:t>
      </w:r>
      <w:r w:rsidRPr="00FE7D2E">
        <w:rPr>
          <w:rFonts w:cs="Arial"/>
          <w:color w:val="000000" w:themeColor="text1"/>
          <w:sz w:val="24"/>
          <w:szCs w:val="24"/>
        </w:rPr>
        <w:t>not</w:t>
      </w:r>
      <w:r w:rsidR="00CF71CC" w:rsidRPr="00FE7D2E">
        <w:rPr>
          <w:rFonts w:cs="Arial"/>
          <w:color w:val="000000" w:themeColor="text1"/>
          <w:sz w:val="24"/>
          <w:szCs w:val="24"/>
        </w:rPr>
        <w:t xml:space="preserve"> be transferred </w:t>
      </w:r>
      <w:r w:rsidR="009E3852" w:rsidRPr="00FE7D2E">
        <w:rPr>
          <w:rFonts w:cs="Arial"/>
          <w:color w:val="000000" w:themeColor="text1"/>
          <w:sz w:val="24"/>
          <w:szCs w:val="24"/>
        </w:rPr>
        <w:t xml:space="preserve">relatively easily </w:t>
      </w:r>
      <w:r w:rsidR="00CF71CC" w:rsidRPr="00FE7D2E">
        <w:rPr>
          <w:rFonts w:cs="Arial"/>
          <w:color w:val="000000" w:themeColor="text1"/>
          <w:sz w:val="24"/>
          <w:szCs w:val="24"/>
        </w:rPr>
        <w:t xml:space="preserve">between </w:t>
      </w:r>
      <w:r w:rsidR="009E3852" w:rsidRPr="00FE7D2E">
        <w:rPr>
          <w:rFonts w:cs="Arial"/>
          <w:color w:val="000000" w:themeColor="text1"/>
          <w:sz w:val="24"/>
          <w:szCs w:val="24"/>
        </w:rPr>
        <w:t xml:space="preserve">adjacent </w:t>
      </w:r>
      <w:r w:rsidR="00234A98" w:rsidRPr="00FE7D2E">
        <w:rPr>
          <w:rFonts w:cs="Arial"/>
          <w:color w:val="000000" w:themeColor="text1"/>
          <w:sz w:val="24"/>
          <w:szCs w:val="24"/>
        </w:rPr>
        <w:t>units</w:t>
      </w:r>
      <w:r w:rsidR="009E3852" w:rsidRPr="00FE7D2E">
        <w:rPr>
          <w:rFonts w:cs="Arial"/>
          <w:color w:val="000000" w:themeColor="text1"/>
          <w:sz w:val="24"/>
          <w:szCs w:val="24"/>
        </w:rPr>
        <w:t>,</w:t>
      </w:r>
      <w:r w:rsidR="006B3D1B" w:rsidRPr="00FE7D2E">
        <w:rPr>
          <w:rFonts w:cs="Arial"/>
          <w:color w:val="000000" w:themeColor="text1"/>
          <w:sz w:val="24"/>
          <w:szCs w:val="24"/>
        </w:rPr>
        <w:t xml:space="preserve"> additional problems can arise where the departments are </w:t>
      </w:r>
      <w:r w:rsidRPr="00FE7D2E">
        <w:rPr>
          <w:rFonts w:cs="Arial"/>
          <w:color w:val="000000" w:themeColor="text1"/>
          <w:sz w:val="24"/>
          <w:szCs w:val="24"/>
        </w:rPr>
        <w:t xml:space="preserve">not </w:t>
      </w:r>
      <w:r w:rsidR="006B3D1B" w:rsidRPr="00FE7D2E">
        <w:rPr>
          <w:rFonts w:cs="Arial"/>
          <w:color w:val="000000" w:themeColor="text1"/>
          <w:sz w:val="24"/>
          <w:szCs w:val="24"/>
        </w:rPr>
        <w:t>functionally serving the same medical purpose</w:t>
      </w:r>
      <w:r w:rsidRPr="00FE7D2E">
        <w:rPr>
          <w:rFonts w:cs="Arial"/>
          <w:color w:val="000000" w:themeColor="text1"/>
          <w:sz w:val="24"/>
          <w:szCs w:val="24"/>
        </w:rPr>
        <w:t>, even if they are related purposes</w:t>
      </w:r>
      <w:r w:rsidR="006B3D1B" w:rsidRPr="00FE7D2E">
        <w:rPr>
          <w:rFonts w:cs="Arial"/>
          <w:color w:val="000000" w:themeColor="text1"/>
          <w:sz w:val="24"/>
          <w:szCs w:val="24"/>
        </w:rPr>
        <w:t>.</w:t>
      </w:r>
      <w:r w:rsidR="00234A98" w:rsidRPr="00FE7D2E">
        <w:rPr>
          <w:rFonts w:cs="Arial"/>
          <w:color w:val="000000" w:themeColor="text1"/>
          <w:sz w:val="24"/>
          <w:szCs w:val="24"/>
        </w:rPr>
        <w:t xml:space="preserve"> An ophthalmologist or specialist in macular degeneration, to continue using the same example, may have other specialized equipment in their office for diagnostic or treatment purposes that </w:t>
      </w:r>
      <w:r w:rsidRPr="00FE7D2E">
        <w:rPr>
          <w:rFonts w:cs="Arial"/>
          <w:color w:val="000000" w:themeColor="text1"/>
          <w:sz w:val="24"/>
          <w:szCs w:val="24"/>
        </w:rPr>
        <w:t xml:space="preserve">can actually be used without the need for modification, but </w:t>
      </w:r>
      <w:r w:rsidR="001D69B2" w:rsidRPr="00FE7D2E">
        <w:rPr>
          <w:rFonts w:cs="Arial"/>
          <w:color w:val="000000" w:themeColor="text1"/>
          <w:sz w:val="24"/>
          <w:szCs w:val="24"/>
        </w:rPr>
        <w:t>it is not ready to hand if the ophthalmologist must go to a central location to access</w:t>
      </w:r>
      <w:r w:rsidR="00D47D82" w:rsidRPr="00FE7D2E">
        <w:rPr>
          <w:rFonts w:cs="Arial"/>
          <w:color w:val="000000" w:themeColor="text1"/>
          <w:sz w:val="24"/>
          <w:szCs w:val="24"/>
        </w:rPr>
        <w:t xml:space="preserve"> one or two accessible diagnostic chairs that opticians also use. In addition, the privacy of a disabled patient is as valuable as the privacy of any other patient</w:t>
      </w:r>
      <w:r w:rsidR="0035182D" w:rsidRPr="00FE7D2E">
        <w:rPr>
          <w:rFonts w:cs="Arial"/>
          <w:color w:val="000000" w:themeColor="text1"/>
          <w:sz w:val="24"/>
          <w:szCs w:val="24"/>
        </w:rPr>
        <w:t xml:space="preserve">. No patient should be required to undergo medical examination elements in a shared central space just because they have a mobility or other disability. </w:t>
      </w:r>
    </w:p>
    <w:p w14:paraId="29152984" w14:textId="77777777" w:rsidR="003D22CB" w:rsidRPr="00FE7D2E" w:rsidRDefault="003D22CB" w:rsidP="00FE7D2E">
      <w:pPr>
        <w:widowControl w:val="0"/>
        <w:tabs>
          <w:tab w:val="left" w:pos="840"/>
        </w:tabs>
        <w:rPr>
          <w:rFonts w:cs="Arial"/>
          <w:color w:val="000000" w:themeColor="text1"/>
          <w:sz w:val="24"/>
          <w:szCs w:val="24"/>
        </w:rPr>
      </w:pPr>
    </w:p>
    <w:p w14:paraId="2CF758C2" w14:textId="77777777" w:rsidR="0008632F" w:rsidRPr="00FE7D2E" w:rsidRDefault="00497E9C" w:rsidP="00FE7D2E">
      <w:pPr>
        <w:autoSpaceDE w:val="0"/>
        <w:autoSpaceDN w:val="0"/>
        <w:adjustRightInd w:val="0"/>
        <w:rPr>
          <w:rFonts w:eastAsiaTheme="minorHAnsi" w:cs="Arial"/>
          <w:i/>
          <w:iCs/>
          <w:sz w:val="24"/>
          <w:szCs w:val="24"/>
        </w:rPr>
      </w:pPr>
      <w:r w:rsidRPr="00FE7D2E">
        <w:rPr>
          <w:rFonts w:eastAsiaTheme="minorHAnsi" w:cs="Arial"/>
          <w:sz w:val="24"/>
          <w:szCs w:val="24"/>
        </w:rPr>
        <w:t xml:space="preserve">• </w:t>
      </w:r>
      <w:r w:rsidRPr="00FE7D2E">
        <w:rPr>
          <w:rFonts w:eastAsiaTheme="minorHAnsi" w:cs="Arial"/>
          <w:i/>
          <w:iCs/>
          <w:sz w:val="24"/>
          <w:szCs w:val="24"/>
        </w:rPr>
        <w:t>MDE Question 14: If this rule were to apply to medical equipment that is not used for diagnostic purposes,</w:t>
      </w:r>
    </w:p>
    <w:p w14:paraId="51A066A2" w14:textId="77777777" w:rsidR="00AF5C08" w:rsidRPr="00FE7D2E" w:rsidRDefault="00497E9C" w:rsidP="00FE7D2E">
      <w:pPr>
        <w:pStyle w:val="ListParagraph"/>
        <w:numPr>
          <w:ilvl w:val="0"/>
          <w:numId w:val="11"/>
        </w:numPr>
        <w:autoSpaceDE w:val="0"/>
        <w:autoSpaceDN w:val="0"/>
        <w:adjustRightInd w:val="0"/>
        <w:rPr>
          <w:rFonts w:eastAsiaTheme="minorHAnsi" w:cs="Arial"/>
          <w:i/>
          <w:iCs/>
          <w:sz w:val="24"/>
          <w:szCs w:val="24"/>
        </w:rPr>
      </w:pPr>
      <w:r w:rsidRPr="00FE7D2E">
        <w:rPr>
          <w:rFonts w:eastAsiaTheme="minorHAnsi" w:cs="Arial"/>
          <w:sz w:val="24"/>
          <w:szCs w:val="24"/>
        </w:rPr>
        <w:t>‘‘</w:t>
      </w:r>
      <w:r w:rsidRPr="00FE7D2E">
        <w:rPr>
          <w:rFonts w:eastAsiaTheme="minorHAnsi" w:cs="Arial"/>
          <w:i/>
          <w:iCs/>
          <w:sz w:val="24"/>
          <w:szCs w:val="24"/>
        </w:rPr>
        <w:t>Should the technical standards set forth in the Standards for Accessible Medical Diagnostic Equipment be</w:t>
      </w:r>
      <w:r w:rsidR="0008632F" w:rsidRPr="00FE7D2E">
        <w:rPr>
          <w:rFonts w:eastAsiaTheme="minorHAnsi" w:cs="Arial"/>
          <w:i/>
          <w:iCs/>
          <w:sz w:val="24"/>
          <w:szCs w:val="24"/>
        </w:rPr>
        <w:t xml:space="preserve"> </w:t>
      </w:r>
      <w:r w:rsidRPr="00FE7D2E">
        <w:rPr>
          <w:rFonts w:eastAsiaTheme="minorHAnsi" w:cs="Arial"/>
          <w:i/>
          <w:iCs/>
          <w:sz w:val="24"/>
          <w:szCs w:val="24"/>
        </w:rPr>
        <w:t>applied to non-diagnostic medical equipment, and if so, in what situations should those technical standards apply</w:t>
      </w:r>
      <w:r w:rsidR="00AF5C08" w:rsidRPr="00FE7D2E">
        <w:rPr>
          <w:rFonts w:eastAsiaTheme="minorHAnsi" w:cs="Arial"/>
          <w:i/>
          <w:iCs/>
          <w:sz w:val="24"/>
          <w:szCs w:val="24"/>
        </w:rPr>
        <w:t xml:space="preserve"> </w:t>
      </w:r>
      <w:r w:rsidRPr="00FE7D2E">
        <w:rPr>
          <w:rFonts w:eastAsiaTheme="minorHAnsi" w:cs="Arial"/>
          <w:i/>
          <w:iCs/>
          <w:sz w:val="24"/>
          <w:szCs w:val="24"/>
        </w:rPr>
        <w:t>to non-diagnostic medical equipment?</w:t>
      </w:r>
      <w:r w:rsidRPr="00FE7D2E">
        <w:rPr>
          <w:rFonts w:eastAsiaTheme="minorHAnsi" w:cs="Arial"/>
          <w:sz w:val="24"/>
          <w:szCs w:val="24"/>
        </w:rPr>
        <w:t>’’</w:t>
      </w:r>
    </w:p>
    <w:p w14:paraId="1FB58BAB" w14:textId="41840F62" w:rsidR="00497E9C" w:rsidRPr="00FE7D2E" w:rsidRDefault="00AF5C08" w:rsidP="00FE7D2E">
      <w:pPr>
        <w:pStyle w:val="ListParagraph"/>
        <w:numPr>
          <w:ilvl w:val="0"/>
          <w:numId w:val="11"/>
        </w:numPr>
        <w:autoSpaceDE w:val="0"/>
        <w:autoSpaceDN w:val="0"/>
        <w:adjustRightInd w:val="0"/>
        <w:rPr>
          <w:rFonts w:eastAsiaTheme="minorHAnsi" w:cs="Arial"/>
          <w:i/>
          <w:iCs/>
          <w:sz w:val="24"/>
          <w:szCs w:val="24"/>
        </w:rPr>
      </w:pPr>
      <w:r w:rsidRPr="00FE7D2E">
        <w:rPr>
          <w:rFonts w:eastAsiaTheme="minorHAnsi" w:cs="Arial"/>
          <w:i/>
          <w:iCs/>
          <w:sz w:val="24"/>
          <w:szCs w:val="24"/>
        </w:rPr>
        <w:t>Ar</w:t>
      </w:r>
      <w:r w:rsidR="00497E9C" w:rsidRPr="00FE7D2E">
        <w:rPr>
          <w:rFonts w:eastAsiaTheme="minorHAnsi" w:cs="Arial"/>
          <w:i/>
          <w:iCs/>
          <w:sz w:val="24"/>
          <w:szCs w:val="24"/>
        </w:rPr>
        <w:t>e there particular types of nondiagnostic medical equipment that should or should not be covered?</w:t>
      </w:r>
    </w:p>
    <w:p w14:paraId="2A81295B" w14:textId="77777777" w:rsidR="00AF5C08" w:rsidRPr="00FE7D2E" w:rsidRDefault="00AF5C08" w:rsidP="00FE7D2E">
      <w:pPr>
        <w:autoSpaceDE w:val="0"/>
        <w:autoSpaceDN w:val="0"/>
        <w:adjustRightInd w:val="0"/>
        <w:rPr>
          <w:rFonts w:eastAsiaTheme="minorHAnsi" w:cs="Arial"/>
          <w:sz w:val="24"/>
          <w:szCs w:val="24"/>
        </w:rPr>
      </w:pPr>
    </w:p>
    <w:p w14:paraId="1C897315" w14:textId="2413B776" w:rsidR="00BE7503" w:rsidRPr="00FE7D2E" w:rsidRDefault="00FA7891" w:rsidP="00FE7D2E">
      <w:pPr>
        <w:autoSpaceDE w:val="0"/>
        <w:autoSpaceDN w:val="0"/>
        <w:adjustRightInd w:val="0"/>
        <w:rPr>
          <w:rFonts w:eastAsiaTheme="minorHAnsi" w:cs="Arial"/>
          <w:sz w:val="24"/>
          <w:szCs w:val="24"/>
        </w:rPr>
      </w:pPr>
      <w:r w:rsidRPr="00FE7D2E">
        <w:rPr>
          <w:rFonts w:eastAsiaTheme="minorHAnsi" w:cs="Arial"/>
          <w:sz w:val="24"/>
          <w:szCs w:val="24"/>
        </w:rPr>
        <w:t>DREDF</w:t>
      </w:r>
      <w:r w:rsidR="006D6098" w:rsidRPr="00FE7D2E">
        <w:rPr>
          <w:rFonts w:eastAsiaTheme="minorHAnsi" w:cs="Arial"/>
          <w:sz w:val="24"/>
          <w:szCs w:val="24"/>
        </w:rPr>
        <w:t>, in concert with CCD, strongly supports the inclusion of a range of medical equipment</w:t>
      </w:r>
      <w:r w:rsidR="00BD40BE" w:rsidRPr="00FE7D2E">
        <w:rPr>
          <w:rFonts w:eastAsiaTheme="minorHAnsi" w:cs="Arial"/>
          <w:sz w:val="24"/>
          <w:szCs w:val="24"/>
        </w:rPr>
        <w:t xml:space="preserve">, including equipment used primarily and only for treatment, </w:t>
      </w:r>
      <w:r w:rsidR="006D6098" w:rsidRPr="00FE7D2E">
        <w:rPr>
          <w:rFonts w:eastAsiaTheme="minorHAnsi" w:cs="Arial"/>
          <w:sz w:val="24"/>
          <w:szCs w:val="24"/>
        </w:rPr>
        <w:t xml:space="preserve">within the proposed rule’s </w:t>
      </w:r>
      <w:r w:rsidR="00BD1411" w:rsidRPr="00FE7D2E">
        <w:rPr>
          <w:rFonts w:eastAsiaTheme="minorHAnsi" w:cs="Arial"/>
          <w:sz w:val="24"/>
          <w:szCs w:val="24"/>
        </w:rPr>
        <w:t xml:space="preserve">requirement of equipment accessibility. People with disabilities would otherwise be stuck in the situation of being able to know </w:t>
      </w:r>
      <w:r w:rsidR="00A23065" w:rsidRPr="00FE7D2E">
        <w:rPr>
          <w:rFonts w:eastAsiaTheme="minorHAnsi" w:cs="Arial"/>
          <w:sz w:val="24"/>
          <w:szCs w:val="24"/>
        </w:rPr>
        <w:t xml:space="preserve">what their health problem is but unable to access the equipment needed to treat that condition equally and effectively. </w:t>
      </w:r>
      <w:r w:rsidR="00BD1411" w:rsidRPr="00FE7D2E">
        <w:rPr>
          <w:rFonts w:eastAsiaTheme="minorHAnsi" w:cs="Arial"/>
          <w:sz w:val="24"/>
          <w:szCs w:val="24"/>
        </w:rPr>
        <w:t xml:space="preserve"> </w:t>
      </w:r>
      <w:r w:rsidR="00EB0CAD" w:rsidRPr="00FE7D2E">
        <w:rPr>
          <w:rFonts w:eastAsiaTheme="minorHAnsi" w:cs="Arial"/>
          <w:sz w:val="24"/>
          <w:szCs w:val="24"/>
        </w:rPr>
        <w:t xml:space="preserve">However, we do appreciate that HHS OCR is not in the position of having expertise to simply impose technical </w:t>
      </w:r>
      <w:r w:rsidR="00BE7503" w:rsidRPr="00FE7D2E">
        <w:rPr>
          <w:rFonts w:eastAsiaTheme="minorHAnsi" w:cs="Arial"/>
          <w:sz w:val="24"/>
          <w:szCs w:val="24"/>
        </w:rPr>
        <w:t xml:space="preserve">requirements on a range of treatment and therapeutic equipment. Furthermore, DREDF is cognizant that the </w:t>
      </w:r>
      <w:r w:rsidR="00BE7503" w:rsidRPr="00FE7D2E">
        <w:rPr>
          <w:rFonts w:eastAsiaTheme="minorHAnsi" w:cs="Arial"/>
          <w:sz w:val="24"/>
          <w:szCs w:val="24"/>
        </w:rPr>
        <w:t>rapid pace of technolog</w:t>
      </w:r>
      <w:r w:rsidR="0007323A">
        <w:rPr>
          <w:rFonts w:eastAsiaTheme="minorHAnsi" w:cs="Arial"/>
          <w:sz w:val="24"/>
          <w:szCs w:val="24"/>
        </w:rPr>
        <w:t>ical</w:t>
      </w:r>
      <w:r w:rsidR="00BE7503" w:rsidRPr="00FE7D2E">
        <w:rPr>
          <w:rFonts w:eastAsiaTheme="minorHAnsi" w:cs="Arial"/>
          <w:sz w:val="24"/>
          <w:szCs w:val="24"/>
        </w:rPr>
        <w:t xml:space="preserve"> innovation in medicine and more generally </w:t>
      </w:r>
      <w:r w:rsidR="00137FD5" w:rsidRPr="00FE7D2E">
        <w:rPr>
          <w:rFonts w:eastAsiaTheme="minorHAnsi" w:cs="Arial"/>
          <w:sz w:val="24"/>
          <w:szCs w:val="24"/>
        </w:rPr>
        <w:t xml:space="preserve">can lead to healthcare </w:t>
      </w:r>
      <w:r w:rsidR="00BE7503" w:rsidRPr="00FE7D2E">
        <w:rPr>
          <w:rFonts w:eastAsiaTheme="minorHAnsi" w:cs="Arial"/>
          <w:sz w:val="24"/>
          <w:szCs w:val="24"/>
        </w:rPr>
        <w:t>treatments</w:t>
      </w:r>
      <w:r w:rsidR="00137FD5" w:rsidRPr="00FE7D2E">
        <w:rPr>
          <w:rFonts w:eastAsiaTheme="minorHAnsi" w:cs="Arial"/>
          <w:sz w:val="24"/>
          <w:szCs w:val="24"/>
        </w:rPr>
        <w:t xml:space="preserve">, </w:t>
      </w:r>
      <w:r w:rsidR="00BE7503" w:rsidRPr="00FE7D2E">
        <w:rPr>
          <w:rFonts w:eastAsiaTheme="minorHAnsi" w:cs="Arial"/>
          <w:sz w:val="24"/>
          <w:szCs w:val="24"/>
        </w:rPr>
        <w:t>treatment delivery methods</w:t>
      </w:r>
      <w:r w:rsidR="00137FD5" w:rsidRPr="00FE7D2E">
        <w:rPr>
          <w:rFonts w:eastAsiaTheme="minorHAnsi" w:cs="Arial"/>
          <w:sz w:val="24"/>
          <w:szCs w:val="24"/>
        </w:rPr>
        <w:t xml:space="preserve">, and </w:t>
      </w:r>
      <w:r w:rsidR="00227643" w:rsidRPr="00FE7D2E">
        <w:rPr>
          <w:rFonts w:eastAsiaTheme="minorHAnsi" w:cs="Arial"/>
          <w:sz w:val="24"/>
          <w:szCs w:val="24"/>
        </w:rPr>
        <w:t>treatment equipment</w:t>
      </w:r>
      <w:r w:rsidR="00BE7503" w:rsidRPr="00FE7D2E">
        <w:rPr>
          <w:rFonts w:eastAsiaTheme="minorHAnsi" w:cs="Arial"/>
          <w:sz w:val="24"/>
          <w:szCs w:val="24"/>
        </w:rPr>
        <w:t xml:space="preserve"> that we </w:t>
      </w:r>
      <w:r w:rsidR="00BE7503" w:rsidRPr="00FE7D2E">
        <w:rPr>
          <w:rFonts w:eastAsiaTheme="minorHAnsi" w:cs="Arial"/>
          <w:sz w:val="24"/>
          <w:szCs w:val="24"/>
        </w:rPr>
        <w:lastRenderedPageBreak/>
        <w:t>can hardly imagine now</w:t>
      </w:r>
      <w:r w:rsidR="00227643" w:rsidRPr="00FE7D2E">
        <w:rPr>
          <w:rFonts w:eastAsiaTheme="minorHAnsi" w:cs="Arial"/>
          <w:sz w:val="24"/>
          <w:szCs w:val="24"/>
        </w:rPr>
        <w:t xml:space="preserve">. In such cases of innovation, it becomes critical for people with disabilities to be involved in the beginning of equipment design and not only as an afterthought; we have seen this occur already in various fields from </w:t>
      </w:r>
      <w:r w:rsidR="00602B4F" w:rsidRPr="00FE7D2E">
        <w:rPr>
          <w:rFonts w:eastAsiaTheme="minorHAnsi" w:cs="Arial"/>
          <w:sz w:val="24"/>
          <w:szCs w:val="24"/>
        </w:rPr>
        <w:t>automated driverless vehicles to automated decision-making systems.</w:t>
      </w:r>
      <w:r w:rsidR="00D21319" w:rsidRPr="00FE7D2E">
        <w:rPr>
          <w:rFonts w:eastAsiaTheme="minorHAnsi" w:cs="Arial"/>
          <w:sz w:val="24"/>
          <w:szCs w:val="24"/>
        </w:rPr>
        <w:t xml:space="preserve"> The early consideration of accessibility in design can </w:t>
      </w:r>
      <w:r w:rsidR="00BE7503" w:rsidRPr="00FE7D2E">
        <w:rPr>
          <w:rFonts w:eastAsiaTheme="minorHAnsi" w:cs="Arial"/>
          <w:sz w:val="24"/>
          <w:szCs w:val="24"/>
        </w:rPr>
        <w:t xml:space="preserve">make crucial differences in how </w:t>
      </w:r>
      <w:r w:rsidR="005A1BE8" w:rsidRPr="00FE7D2E">
        <w:rPr>
          <w:rFonts w:eastAsiaTheme="minorHAnsi" w:cs="Arial"/>
          <w:sz w:val="24"/>
          <w:szCs w:val="24"/>
        </w:rPr>
        <w:t xml:space="preserve">and when people with disabilities </w:t>
      </w:r>
      <w:r w:rsidR="00BE7503" w:rsidRPr="00FE7D2E">
        <w:rPr>
          <w:rFonts w:eastAsiaTheme="minorHAnsi" w:cs="Arial"/>
          <w:sz w:val="24"/>
          <w:szCs w:val="24"/>
        </w:rPr>
        <w:t xml:space="preserve">can access a </w:t>
      </w:r>
      <w:r w:rsidR="005A1BE8" w:rsidRPr="00FE7D2E">
        <w:rPr>
          <w:rFonts w:eastAsiaTheme="minorHAnsi" w:cs="Arial"/>
          <w:sz w:val="24"/>
          <w:szCs w:val="24"/>
        </w:rPr>
        <w:t>revolutionary new</w:t>
      </w:r>
      <w:r w:rsidR="00BE7503" w:rsidRPr="00FE7D2E">
        <w:rPr>
          <w:rFonts w:eastAsiaTheme="minorHAnsi" w:cs="Arial"/>
          <w:sz w:val="24"/>
          <w:szCs w:val="24"/>
        </w:rPr>
        <w:t xml:space="preserve"> therapy or treatment</w:t>
      </w:r>
      <w:r w:rsidR="005A1BE8" w:rsidRPr="00FE7D2E">
        <w:rPr>
          <w:rFonts w:eastAsiaTheme="minorHAnsi" w:cs="Arial"/>
          <w:sz w:val="24"/>
          <w:szCs w:val="24"/>
        </w:rPr>
        <w:t>, and this</w:t>
      </w:r>
      <w:r w:rsidR="00DF7983" w:rsidRPr="00FE7D2E">
        <w:rPr>
          <w:rFonts w:eastAsiaTheme="minorHAnsi" w:cs="Arial"/>
          <w:sz w:val="24"/>
          <w:szCs w:val="24"/>
        </w:rPr>
        <w:t xml:space="preserve"> applies equally to treatments and therapies that incorporate existing technologies such as smart phones </w:t>
      </w:r>
      <w:r w:rsidR="0007323A">
        <w:rPr>
          <w:rFonts w:eastAsiaTheme="minorHAnsi" w:cs="Arial"/>
          <w:sz w:val="24"/>
          <w:szCs w:val="24"/>
        </w:rPr>
        <w:t xml:space="preserve">or Apple watches </w:t>
      </w:r>
      <w:r w:rsidR="00DF7983" w:rsidRPr="00FE7D2E">
        <w:rPr>
          <w:rFonts w:eastAsiaTheme="minorHAnsi" w:cs="Arial"/>
          <w:sz w:val="24"/>
          <w:szCs w:val="24"/>
        </w:rPr>
        <w:t>as a means of monitoring or sharing information with healthcare providers.</w:t>
      </w:r>
    </w:p>
    <w:p w14:paraId="78F4DC50" w14:textId="77777777" w:rsidR="00BE7503" w:rsidRPr="00FE7D2E" w:rsidRDefault="00BE7503" w:rsidP="00FE7D2E">
      <w:pPr>
        <w:autoSpaceDE w:val="0"/>
        <w:autoSpaceDN w:val="0"/>
        <w:adjustRightInd w:val="0"/>
        <w:rPr>
          <w:rFonts w:eastAsiaTheme="minorHAnsi" w:cs="Arial"/>
          <w:sz w:val="24"/>
          <w:szCs w:val="24"/>
        </w:rPr>
      </w:pPr>
    </w:p>
    <w:p w14:paraId="12BBEF13" w14:textId="79A5B999" w:rsidR="00497E9C" w:rsidRPr="00FE7D2E" w:rsidRDefault="00DF7983" w:rsidP="00FE7D2E">
      <w:pPr>
        <w:autoSpaceDE w:val="0"/>
        <w:autoSpaceDN w:val="0"/>
        <w:adjustRightInd w:val="0"/>
        <w:rPr>
          <w:rFonts w:eastAsiaTheme="minorHAnsi" w:cs="Arial"/>
          <w:sz w:val="24"/>
          <w:szCs w:val="24"/>
        </w:rPr>
      </w:pPr>
      <w:r w:rsidRPr="00FE7D2E">
        <w:rPr>
          <w:rFonts w:eastAsiaTheme="minorHAnsi" w:cs="Arial"/>
          <w:sz w:val="24"/>
          <w:szCs w:val="24"/>
        </w:rPr>
        <w:t xml:space="preserve">DREDF recommends that HHS OCR consider </w:t>
      </w:r>
      <w:r w:rsidR="00A4181C" w:rsidRPr="00FE7D2E">
        <w:rPr>
          <w:rFonts w:eastAsiaTheme="minorHAnsi" w:cs="Arial"/>
          <w:sz w:val="24"/>
          <w:szCs w:val="24"/>
        </w:rPr>
        <w:t xml:space="preserve">incorporating a </w:t>
      </w:r>
      <w:r w:rsidR="007005C6" w:rsidRPr="00FE7D2E">
        <w:rPr>
          <w:rFonts w:eastAsiaTheme="minorHAnsi" w:cs="Arial"/>
          <w:sz w:val="24"/>
          <w:szCs w:val="24"/>
        </w:rPr>
        <w:t xml:space="preserve">greater </w:t>
      </w:r>
      <w:r w:rsidR="00A4181C" w:rsidRPr="00FE7D2E">
        <w:rPr>
          <w:rFonts w:eastAsiaTheme="minorHAnsi" w:cs="Arial"/>
          <w:sz w:val="24"/>
          <w:szCs w:val="24"/>
        </w:rPr>
        <w:t xml:space="preserve">standing </w:t>
      </w:r>
      <w:r w:rsidR="007005C6" w:rsidRPr="00FE7D2E">
        <w:rPr>
          <w:rFonts w:eastAsiaTheme="minorHAnsi" w:cs="Arial"/>
          <w:sz w:val="24"/>
          <w:szCs w:val="24"/>
        </w:rPr>
        <w:t xml:space="preserve">directive </w:t>
      </w:r>
      <w:r w:rsidR="00936535" w:rsidRPr="00FE7D2E">
        <w:rPr>
          <w:rFonts w:eastAsiaTheme="minorHAnsi" w:cs="Arial"/>
          <w:sz w:val="24"/>
          <w:szCs w:val="24"/>
        </w:rPr>
        <w:t xml:space="preserve">in its </w:t>
      </w:r>
      <w:r w:rsidR="00A4181C" w:rsidRPr="00FE7D2E">
        <w:rPr>
          <w:rFonts w:eastAsiaTheme="minorHAnsi" w:cs="Arial"/>
          <w:sz w:val="24"/>
          <w:szCs w:val="24"/>
        </w:rPr>
        <w:t xml:space="preserve">relationship with the </w:t>
      </w:r>
      <w:r w:rsidR="00497E9C" w:rsidRPr="00FE7D2E">
        <w:rPr>
          <w:rFonts w:eastAsiaTheme="minorHAnsi" w:cs="Arial"/>
          <w:sz w:val="24"/>
          <w:szCs w:val="24"/>
        </w:rPr>
        <w:t xml:space="preserve">Access Board to </w:t>
      </w:r>
      <w:r w:rsidR="00A4181C" w:rsidRPr="00FE7D2E">
        <w:rPr>
          <w:rFonts w:eastAsiaTheme="minorHAnsi" w:cs="Arial"/>
          <w:sz w:val="24"/>
          <w:szCs w:val="24"/>
        </w:rPr>
        <w:t xml:space="preserve">engage in ongoing </w:t>
      </w:r>
      <w:r w:rsidR="00497E9C" w:rsidRPr="00FE7D2E">
        <w:rPr>
          <w:rFonts w:eastAsiaTheme="minorHAnsi" w:cs="Arial"/>
          <w:sz w:val="24"/>
          <w:szCs w:val="24"/>
        </w:rPr>
        <w:t>standard-making in th</w:t>
      </w:r>
      <w:r w:rsidR="00A4181C" w:rsidRPr="00FE7D2E">
        <w:rPr>
          <w:rFonts w:eastAsiaTheme="minorHAnsi" w:cs="Arial"/>
          <w:sz w:val="24"/>
          <w:szCs w:val="24"/>
        </w:rPr>
        <w:t xml:space="preserve">e area of </w:t>
      </w:r>
      <w:r w:rsidR="00207F0A" w:rsidRPr="00FE7D2E">
        <w:rPr>
          <w:rFonts w:eastAsiaTheme="minorHAnsi" w:cs="Arial"/>
          <w:sz w:val="24"/>
          <w:szCs w:val="24"/>
        </w:rPr>
        <w:t>medical equipment</w:t>
      </w:r>
      <w:r w:rsidR="00936535" w:rsidRPr="00FE7D2E">
        <w:rPr>
          <w:rFonts w:eastAsiaTheme="minorHAnsi" w:cs="Arial"/>
          <w:sz w:val="24"/>
          <w:szCs w:val="24"/>
        </w:rPr>
        <w:t xml:space="preserve">. This is a relationship that would extend beyond </w:t>
      </w:r>
      <w:r w:rsidR="00D44494" w:rsidRPr="00FE7D2E">
        <w:rPr>
          <w:rFonts w:eastAsiaTheme="minorHAnsi" w:cs="Arial"/>
          <w:sz w:val="24"/>
          <w:szCs w:val="24"/>
        </w:rPr>
        <w:t xml:space="preserve">membership in the Access Board, and involve cooperation in developing and </w:t>
      </w:r>
      <w:r w:rsidR="00C35960" w:rsidRPr="00FE7D2E">
        <w:rPr>
          <w:rFonts w:eastAsiaTheme="minorHAnsi" w:cs="Arial"/>
          <w:sz w:val="24"/>
          <w:szCs w:val="24"/>
        </w:rPr>
        <w:t xml:space="preserve">disseminating universal design standards in medical equipment. </w:t>
      </w:r>
      <w:r w:rsidR="00497E9C" w:rsidRPr="00FE7D2E">
        <w:rPr>
          <w:rFonts w:eastAsiaTheme="minorHAnsi" w:cs="Arial"/>
          <w:sz w:val="24"/>
          <w:szCs w:val="24"/>
        </w:rPr>
        <w:t>HHS OCR</w:t>
      </w:r>
      <w:r w:rsidR="00A214E3" w:rsidRPr="00FE7D2E">
        <w:rPr>
          <w:rFonts w:eastAsiaTheme="minorHAnsi" w:cs="Arial"/>
          <w:sz w:val="24"/>
          <w:szCs w:val="24"/>
        </w:rPr>
        <w:t>, of course,</w:t>
      </w:r>
      <w:r w:rsidR="00497E9C" w:rsidRPr="00FE7D2E">
        <w:rPr>
          <w:rFonts w:eastAsiaTheme="minorHAnsi" w:cs="Arial"/>
          <w:sz w:val="24"/>
          <w:szCs w:val="24"/>
        </w:rPr>
        <w:t xml:space="preserve"> </w:t>
      </w:r>
      <w:r w:rsidR="00C35960" w:rsidRPr="00FE7D2E">
        <w:rPr>
          <w:rFonts w:eastAsiaTheme="minorHAnsi" w:cs="Arial"/>
          <w:sz w:val="24"/>
          <w:szCs w:val="24"/>
        </w:rPr>
        <w:t xml:space="preserve">will retain its own </w:t>
      </w:r>
      <w:r w:rsidR="007613D9" w:rsidRPr="00FE7D2E">
        <w:rPr>
          <w:rFonts w:eastAsiaTheme="minorHAnsi" w:cs="Arial"/>
          <w:sz w:val="24"/>
          <w:szCs w:val="24"/>
        </w:rPr>
        <w:t xml:space="preserve">discretion to enact enforceable regulatory standards </w:t>
      </w:r>
      <w:r w:rsidR="00A214E3" w:rsidRPr="00FE7D2E">
        <w:rPr>
          <w:rFonts w:eastAsiaTheme="minorHAnsi" w:cs="Arial"/>
          <w:sz w:val="24"/>
          <w:szCs w:val="24"/>
        </w:rPr>
        <w:t xml:space="preserve">by deciding whether and when to </w:t>
      </w:r>
      <w:r w:rsidR="007613D9" w:rsidRPr="00FE7D2E">
        <w:rPr>
          <w:rFonts w:eastAsiaTheme="minorHAnsi" w:cs="Arial"/>
          <w:sz w:val="24"/>
          <w:szCs w:val="24"/>
        </w:rPr>
        <w:t xml:space="preserve">adopt </w:t>
      </w:r>
      <w:r w:rsidR="00A214E3" w:rsidRPr="00FE7D2E">
        <w:rPr>
          <w:rFonts w:eastAsiaTheme="minorHAnsi" w:cs="Arial"/>
          <w:sz w:val="24"/>
          <w:szCs w:val="24"/>
        </w:rPr>
        <w:t xml:space="preserve">medical equipment standards that are created through the Access Board’s </w:t>
      </w:r>
      <w:r w:rsidR="00497E9C" w:rsidRPr="00FE7D2E">
        <w:rPr>
          <w:rFonts w:eastAsiaTheme="minorHAnsi" w:cs="Arial"/>
          <w:sz w:val="24"/>
          <w:szCs w:val="24"/>
        </w:rPr>
        <w:t xml:space="preserve">consensus building </w:t>
      </w:r>
      <w:r w:rsidR="00A214E3" w:rsidRPr="00FE7D2E">
        <w:rPr>
          <w:rFonts w:eastAsiaTheme="minorHAnsi" w:cs="Arial"/>
          <w:sz w:val="24"/>
          <w:szCs w:val="24"/>
        </w:rPr>
        <w:t xml:space="preserve">process and consultation with experts and stakeholders from the </w:t>
      </w:r>
      <w:r w:rsidR="00497E9C" w:rsidRPr="00FE7D2E">
        <w:rPr>
          <w:rFonts w:eastAsiaTheme="minorHAnsi" w:cs="Arial"/>
          <w:sz w:val="24"/>
          <w:szCs w:val="24"/>
        </w:rPr>
        <w:t>medical</w:t>
      </w:r>
      <w:r w:rsidR="00A214E3" w:rsidRPr="00FE7D2E">
        <w:rPr>
          <w:rFonts w:eastAsiaTheme="minorHAnsi" w:cs="Arial"/>
          <w:sz w:val="24"/>
          <w:szCs w:val="24"/>
        </w:rPr>
        <w:t xml:space="preserve">, scientific research, and </w:t>
      </w:r>
      <w:r w:rsidR="00497E9C" w:rsidRPr="00FE7D2E">
        <w:rPr>
          <w:rFonts w:eastAsiaTheme="minorHAnsi" w:cs="Arial"/>
          <w:sz w:val="24"/>
          <w:szCs w:val="24"/>
        </w:rPr>
        <w:t>disability community</w:t>
      </w:r>
      <w:r w:rsidR="00A214E3" w:rsidRPr="00FE7D2E">
        <w:rPr>
          <w:rFonts w:eastAsiaTheme="minorHAnsi" w:cs="Arial"/>
          <w:sz w:val="24"/>
          <w:szCs w:val="24"/>
        </w:rPr>
        <w:t xml:space="preserve">. But </w:t>
      </w:r>
      <w:r w:rsidR="00FD78B8" w:rsidRPr="00FE7D2E">
        <w:rPr>
          <w:rFonts w:eastAsiaTheme="minorHAnsi" w:cs="Arial"/>
          <w:sz w:val="24"/>
          <w:szCs w:val="24"/>
        </w:rPr>
        <w:t xml:space="preserve">establishing a framework beforehand for “universal design” standards that can be applied </w:t>
      </w:r>
      <w:r w:rsidR="006109F8" w:rsidRPr="00FE7D2E">
        <w:rPr>
          <w:rFonts w:eastAsiaTheme="minorHAnsi" w:cs="Arial"/>
          <w:sz w:val="24"/>
          <w:szCs w:val="24"/>
        </w:rPr>
        <w:t>to medical diagnostic, exam, and treatment equipment will ensure that people with disabilities</w:t>
      </w:r>
      <w:r w:rsidR="00821E8C" w:rsidRPr="00FE7D2E">
        <w:rPr>
          <w:rFonts w:eastAsiaTheme="minorHAnsi" w:cs="Arial"/>
          <w:sz w:val="24"/>
          <w:szCs w:val="24"/>
        </w:rPr>
        <w:t xml:space="preserve"> have faster greater access to innovative medical care.</w:t>
      </w:r>
    </w:p>
    <w:p w14:paraId="1029B9BD" w14:textId="77777777" w:rsidR="003D22CB" w:rsidRPr="00FE7D2E" w:rsidRDefault="003D22CB" w:rsidP="00FE7D2E">
      <w:pPr>
        <w:rPr>
          <w:rFonts w:cs="Arial"/>
          <w:color w:val="000000"/>
          <w:sz w:val="24"/>
          <w:szCs w:val="24"/>
        </w:rPr>
      </w:pPr>
    </w:p>
    <w:p w14:paraId="693E2D2B" w14:textId="77777777" w:rsidR="002D5A4E" w:rsidRPr="00FE7D2E" w:rsidRDefault="002D5A4E" w:rsidP="00FE7D2E">
      <w:pPr>
        <w:rPr>
          <w:rFonts w:cs="Arial"/>
          <w:color w:val="000000"/>
          <w:sz w:val="24"/>
          <w:szCs w:val="24"/>
        </w:rPr>
      </w:pPr>
    </w:p>
    <w:p w14:paraId="6B97A5AA" w14:textId="2005EF3D" w:rsidR="002D5A4E" w:rsidRPr="00FE7D2E" w:rsidRDefault="002D5A4E" w:rsidP="00FE7D2E">
      <w:pPr>
        <w:rPr>
          <w:rFonts w:cs="Arial"/>
          <w:b/>
          <w:bCs/>
          <w:color w:val="000000"/>
          <w:sz w:val="24"/>
          <w:szCs w:val="24"/>
        </w:rPr>
      </w:pPr>
      <w:r w:rsidRPr="00FE7D2E">
        <w:rPr>
          <w:rFonts w:cs="Arial"/>
          <w:b/>
          <w:bCs/>
          <w:color w:val="000000"/>
          <w:sz w:val="24"/>
          <w:szCs w:val="24"/>
        </w:rPr>
        <w:t>Additional Overarching Considerations</w:t>
      </w:r>
    </w:p>
    <w:p w14:paraId="35E9A939" w14:textId="77777777" w:rsidR="002D5A4E" w:rsidRPr="00FE7D2E" w:rsidRDefault="002D5A4E" w:rsidP="00FE7D2E">
      <w:pPr>
        <w:rPr>
          <w:rFonts w:cs="Arial"/>
          <w:color w:val="000000"/>
          <w:sz w:val="24"/>
          <w:szCs w:val="24"/>
        </w:rPr>
      </w:pPr>
    </w:p>
    <w:p w14:paraId="62A2C8C6" w14:textId="297070E3" w:rsidR="001C05D3" w:rsidRPr="0014365C" w:rsidRDefault="001C05D3" w:rsidP="00FE7D2E">
      <w:pPr>
        <w:rPr>
          <w:rFonts w:cs="Arial"/>
          <w:i/>
          <w:iCs/>
          <w:color w:val="000000"/>
          <w:sz w:val="24"/>
          <w:szCs w:val="24"/>
          <w:u w:val="single"/>
        </w:rPr>
      </w:pPr>
      <w:r w:rsidRPr="0014365C">
        <w:rPr>
          <w:rFonts w:eastAsia="Times New Roman" w:cs="Arial"/>
          <w:i/>
          <w:iCs/>
          <w:sz w:val="24"/>
          <w:szCs w:val="24"/>
          <w:u w:val="single"/>
          <w:lang w:eastAsia="zh-CN"/>
        </w:rPr>
        <w:t>Additional Regulatory Language and Guidance on the Phrase “Solely by Reason of Her or His Disability”</w:t>
      </w:r>
    </w:p>
    <w:p w14:paraId="19FD33FE" w14:textId="77777777" w:rsidR="001C05D3" w:rsidRPr="0014365C" w:rsidRDefault="001C05D3" w:rsidP="00FE7D2E">
      <w:pPr>
        <w:spacing w:after="240"/>
        <w:rPr>
          <w:rFonts w:eastAsia="Times New Roman" w:cs="Arial"/>
          <w:sz w:val="24"/>
          <w:szCs w:val="24"/>
          <w:lang w:eastAsia="zh-CN"/>
        </w:rPr>
      </w:pPr>
      <w:r w:rsidRPr="0014365C">
        <w:rPr>
          <w:rFonts w:eastAsia="Times New Roman" w:cs="Arial"/>
          <w:sz w:val="24"/>
          <w:szCs w:val="24"/>
          <w:lang w:eastAsia="zh-CN"/>
        </w:rPr>
        <w:br/>
        <w:t>In recent years, the phrase “solely by reason of his or her disability” found in Section 504 has become a textual battleground in cases that threaten to gut disability civil rights. Despite the reasoning by the Supreme Court in Alexander v. Choate, 469 U.S. 287 (1985), the nature of disability discrimination, and the text of the 1977 regulations – adopted with the oversight and approval of Congress – and dozens of other agency rules, lawyers for Section 504 and Section 1557 defendants claim that the phrase means that only intentional discrimination is prohibited, and that other forms of discrimination are not actionable under the law.</w:t>
      </w:r>
      <w:r w:rsidRPr="00FE7D2E">
        <w:rPr>
          <w:rStyle w:val="EndnoteReference"/>
          <w:rFonts w:eastAsia="Times New Roman" w:cs="Arial"/>
          <w:sz w:val="24"/>
          <w:szCs w:val="24"/>
          <w:lang w:eastAsia="zh-CN"/>
        </w:rPr>
        <w:endnoteReference w:id="5"/>
      </w:r>
      <w:r w:rsidRPr="0014365C">
        <w:rPr>
          <w:rFonts w:eastAsia="Times New Roman" w:cs="Arial"/>
          <w:sz w:val="24"/>
          <w:szCs w:val="24"/>
          <w:lang w:eastAsia="zh-CN"/>
        </w:rPr>
        <w:t xml:space="preserve"> The “solely” arguments persist, even though the design of systems that discriminate against and exclude people with disabilities is inherently intentional. Cf. Schmitt v. Kaiser Found. Health Plan of Wash., 965 F.3d 945, 954 (9th Cir. 2020). The disability community has expended extraordinary resources fighting this false and ahistorical construction of Section 504.</w:t>
      </w:r>
      <w:r w:rsidRPr="0014365C">
        <w:rPr>
          <w:rFonts w:eastAsia="Times New Roman" w:cs="Arial"/>
          <w:sz w:val="24"/>
          <w:szCs w:val="24"/>
          <w:lang w:eastAsia="zh-CN"/>
        </w:rPr>
        <w:br/>
      </w:r>
      <w:r w:rsidRPr="0014365C">
        <w:rPr>
          <w:rFonts w:eastAsia="Times New Roman" w:cs="Arial"/>
          <w:sz w:val="24"/>
          <w:szCs w:val="24"/>
          <w:lang w:eastAsia="zh-CN"/>
        </w:rPr>
        <w:br/>
      </w:r>
      <w:r w:rsidRPr="0014365C">
        <w:rPr>
          <w:rFonts w:eastAsia="Times New Roman" w:cs="Arial"/>
          <w:sz w:val="24"/>
          <w:szCs w:val="24"/>
          <w:lang w:eastAsia="zh-CN"/>
        </w:rPr>
        <w:lastRenderedPageBreak/>
        <w:t>If successful, these arguments would devastate the scope of prohibited disability discrimination. “Discrimination against the handicapped was perceived by Congress to be most often the product, not of invidious animus, but rather of thoughtlessness and indifference – of benign neglect.” Alexander v. Choate, 469 U.S. 287, 295-96 (1985). A sidewalk without a ramp denies access to a person in a wheelchair, regardless of intent. Congress in Section 504 of the Rehabilitation Act of 1973 sought to remedy just such discrimination.</w:t>
      </w:r>
      <w:r w:rsidRPr="0014365C">
        <w:rPr>
          <w:rFonts w:eastAsia="Times New Roman" w:cs="Arial"/>
          <w:sz w:val="24"/>
          <w:szCs w:val="24"/>
          <w:lang w:eastAsia="zh-CN"/>
        </w:rPr>
        <w:br/>
      </w:r>
      <w:r w:rsidRPr="0014365C">
        <w:rPr>
          <w:rFonts w:eastAsia="Times New Roman" w:cs="Arial"/>
          <w:sz w:val="24"/>
          <w:szCs w:val="24"/>
          <w:lang w:eastAsia="zh-CN"/>
        </w:rPr>
        <w:br/>
        <w:t>The Agency’s proposed regulations include the phrase within proposed Section 84.68(a) but include no additional regulatory language defining the language. See 88:177 Fed. Reg. at 63505 (“No qualified individual with a disability shall, solely on the basis of disability, be excluded from participation in or be denied the benefits of the programs or activities of a recipient, or be subjected to discrimination by any recipient.”). The proposal does include helpful language in the introductory material, which states: “As used in this part, solely on the basis of disability is consistent with, and does not exclude, the forms of discrimination delineated throughout the rule. 88:177 Fed. Reg. at 63473; see also id. at 63474 (containing helpful discussion of Alexander v. Choate).</w:t>
      </w:r>
      <w:r w:rsidRPr="0014365C">
        <w:rPr>
          <w:rFonts w:eastAsia="Times New Roman" w:cs="Arial"/>
          <w:sz w:val="24"/>
          <w:szCs w:val="24"/>
          <w:lang w:eastAsia="zh-CN"/>
        </w:rPr>
        <w:br/>
      </w:r>
      <w:r w:rsidRPr="0014365C">
        <w:rPr>
          <w:rFonts w:eastAsia="Times New Roman" w:cs="Arial"/>
          <w:sz w:val="24"/>
          <w:szCs w:val="24"/>
          <w:lang w:eastAsia="zh-CN"/>
        </w:rPr>
        <w:br/>
        <w:t>We ask that the Agency provide additional regulatory language and guidance on the phrase “solely by reason of his or her disability” that reflects case law, statutory purpose, and Congressional action. For example, the regulations could include text such as:</w:t>
      </w:r>
    </w:p>
    <w:p w14:paraId="21C04582" w14:textId="77777777" w:rsidR="001C05D3" w:rsidRPr="0014365C" w:rsidRDefault="001C05D3" w:rsidP="00FE7D2E">
      <w:pPr>
        <w:spacing w:after="240"/>
        <w:rPr>
          <w:rFonts w:eastAsia="Times New Roman" w:cs="Arial"/>
          <w:sz w:val="24"/>
          <w:szCs w:val="24"/>
          <w:lang w:eastAsia="zh-CN"/>
        </w:rPr>
      </w:pPr>
      <w:r w:rsidRPr="0014365C">
        <w:rPr>
          <w:rFonts w:eastAsia="Times New Roman" w:cs="Arial"/>
          <w:sz w:val="24"/>
          <w:szCs w:val="24"/>
          <w:lang w:eastAsia="zh-CN"/>
        </w:rPr>
        <w:t>“Solely on the basis of disability” means that there is</w:t>
      </w:r>
      <w:r w:rsidRPr="00FE7D2E">
        <w:rPr>
          <w:rFonts w:eastAsia="Times New Roman" w:cs="Arial"/>
          <w:sz w:val="24"/>
          <w:szCs w:val="24"/>
          <w:lang w:eastAsia="zh-CN"/>
        </w:rPr>
        <w:t xml:space="preserve"> a demonstrable relationship </w:t>
      </w:r>
      <w:r w:rsidRPr="0014365C">
        <w:rPr>
          <w:rFonts w:eastAsia="Times New Roman" w:cs="Arial"/>
          <w:sz w:val="24"/>
          <w:szCs w:val="24"/>
          <w:lang w:eastAsia="zh-CN"/>
        </w:rPr>
        <w:t>between the discrimination alleged and the disability.</w:t>
      </w:r>
      <w:r w:rsidRPr="0014365C">
        <w:rPr>
          <w:rFonts w:eastAsia="Times New Roman" w:cs="Arial"/>
          <w:sz w:val="24"/>
          <w:szCs w:val="24"/>
          <w:lang w:eastAsia="zh-CN"/>
        </w:rPr>
        <w:br/>
      </w:r>
      <w:r w:rsidRPr="0014365C">
        <w:rPr>
          <w:rFonts w:eastAsia="Times New Roman" w:cs="Arial"/>
          <w:sz w:val="24"/>
          <w:szCs w:val="24"/>
          <w:lang w:eastAsia="zh-CN"/>
        </w:rPr>
        <w:br/>
        <w:t>As used in this part, “solely on the basis of disability”</w:t>
      </w:r>
      <w:r w:rsidRPr="00FE7D2E">
        <w:rPr>
          <w:rFonts w:eastAsia="Times New Roman" w:cs="Arial"/>
          <w:sz w:val="24"/>
          <w:szCs w:val="24"/>
          <w:lang w:eastAsia="zh-CN"/>
        </w:rPr>
        <w:t xml:space="preserve"> includes t</w:t>
      </w:r>
      <w:r w:rsidRPr="0014365C">
        <w:rPr>
          <w:rFonts w:eastAsia="Times New Roman" w:cs="Arial"/>
          <w:sz w:val="24"/>
          <w:szCs w:val="24"/>
          <w:lang w:eastAsia="zh-CN"/>
        </w:rPr>
        <w:t>he forms of discrimination delineated herein, including discrimination that results from thoughtlessness, indifference, and benign neglect, practices that have the effect of discrimination, and unintentional disparate-impact discrimination.</w:t>
      </w:r>
      <w:r w:rsidRPr="0014365C">
        <w:rPr>
          <w:rFonts w:eastAsia="Times New Roman" w:cs="Arial"/>
          <w:sz w:val="24"/>
          <w:szCs w:val="24"/>
          <w:lang w:eastAsia="zh-CN"/>
        </w:rPr>
        <w:br/>
      </w:r>
      <w:r w:rsidRPr="0014365C">
        <w:rPr>
          <w:rFonts w:eastAsia="Times New Roman" w:cs="Arial"/>
          <w:sz w:val="24"/>
          <w:szCs w:val="24"/>
          <w:lang w:eastAsia="zh-CN"/>
        </w:rPr>
        <w:br/>
        <w:t>“Solely on the basis of disability” shall not be construed to lead to or require anomalous results, such as excluding claims where nondiscrimination requires the expenditure of funds, as such expenditure was clearly contemplated by the statute, or where the cited basis for discrimination cannot be extricated from the disability itself.</w:t>
      </w:r>
    </w:p>
    <w:p w14:paraId="68374279" w14:textId="77777777" w:rsidR="001C05D3" w:rsidRPr="0014365C" w:rsidRDefault="001C05D3" w:rsidP="00FE7D2E">
      <w:pPr>
        <w:rPr>
          <w:rFonts w:eastAsia="Times New Roman" w:cs="Arial"/>
          <w:sz w:val="24"/>
          <w:szCs w:val="24"/>
          <w:lang w:eastAsia="zh-CN"/>
        </w:rPr>
      </w:pPr>
      <w:r w:rsidRPr="0014365C">
        <w:rPr>
          <w:rFonts w:eastAsia="Times New Roman" w:cs="Arial"/>
          <w:sz w:val="24"/>
          <w:szCs w:val="24"/>
          <w:lang w:eastAsia="zh-CN"/>
        </w:rPr>
        <w:t>It would be enormously helpful for the Agency to provide regulatory language that explicitly defines and clarifies the statutory phrase in favor of broad coverage, as Congress intended.</w:t>
      </w:r>
      <w:r w:rsidRPr="0014365C">
        <w:rPr>
          <w:rFonts w:eastAsia="Times New Roman" w:cs="Arial"/>
          <w:sz w:val="24"/>
          <w:szCs w:val="24"/>
          <w:lang w:eastAsia="zh-CN"/>
        </w:rPr>
        <w:br/>
      </w:r>
      <w:r w:rsidRPr="0014365C">
        <w:rPr>
          <w:rFonts w:eastAsia="Times New Roman" w:cs="Arial"/>
          <w:sz w:val="24"/>
          <w:szCs w:val="24"/>
          <w:lang w:eastAsia="zh-CN"/>
        </w:rPr>
        <w:br/>
        <w:t xml:space="preserve">The Agency should also include additional contextual language in the regulatory guidance. For example, the Agency could add content similar from that contained in the United States’ </w:t>
      </w:r>
      <w:r w:rsidRPr="0014365C">
        <w:rPr>
          <w:rFonts w:eastAsia="Times New Roman" w:cs="Arial"/>
          <w:sz w:val="24"/>
          <w:szCs w:val="24"/>
          <w:lang w:eastAsia="zh-CN"/>
        </w:rPr>
        <w:lastRenderedPageBreak/>
        <w:t>amicus brief in CVS v. Doe, No. 20-1374 (U.S. Oct. 28, 2021). That brief properly notes that the language in Section 504 is written in the passive voice and makes no reference to any specific actor or intent. Thus, the phrase “is most naturally read to focus on the causal link between the plaintiff’s disability and particular undesired effects, rather than on the motives or intent of the defendant.” Id. at 6-7. “A student who uses a wheelchair and is unable to reach an auditorium that is accessible only by stairs, for example, is naturally described as ‘being excluded from the assembly solely by reason of his disability.’” Id. at 7. The brief also reasons that, following consistent court of appeals decisions and agency regulations that have recognized disparate-impact liability, Congress “specifically reconfirmed the Rehabilitation Act’s focus on full integration in subsequent amendments to the Act.” Id. Further, the brief explains, “[i]nterpreting Section 504 to require a showing that the defendant took a particular action because of, not merely in spite of, its effect on individuals with disabilities would prevent the Act from reaching core applications that Congress sought to cover.” Id. at 7. Including this type of context in the regulatory guidance would be enormously helpful to people with disabilities facing an unwarranted textual argument.</w:t>
      </w:r>
    </w:p>
    <w:p w14:paraId="3713B89C" w14:textId="77777777" w:rsidR="004A7018" w:rsidRPr="00FE7D2E" w:rsidRDefault="004A7018" w:rsidP="00FE7D2E">
      <w:pPr>
        <w:rPr>
          <w:rFonts w:cs="Arial"/>
          <w:color w:val="000000"/>
          <w:sz w:val="24"/>
          <w:szCs w:val="24"/>
        </w:rPr>
      </w:pPr>
    </w:p>
    <w:p w14:paraId="40B170FA" w14:textId="57DAE8BF" w:rsidR="001C05D3" w:rsidRPr="00FE7D2E" w:rsidRDefault="001C05D3" w:rsidP="00FE7D2E">
      <w:pPr>
        <w:rPr>
          <w:rFonts w:cs="Arial"/>
          <w:color w:val="000000"/>
          <w:sz w:val="24"/>
          <w:szCs w:val="24"/>
        </w:rPr>
      </w:pPr>
      <w:r w:rsidRPr="00FE7D2E">
        <w:rPr>
          <w:rFonts w:cs="Arial"/>
          <w:i/>
          <w:iCs/>
          <w:color w:val="000000"/>
          <w:sz w:val="24"/>
          <w:szCs w:val="24"/>
          <w:u w:val="single"/>
        </w:rPr>
        <w:t>Relationship to Section 1557</w:t>
      </w:r>
    </w:p>
    <w:p w14:paraId="22FB8023" w14:textId="77777777" w:rsidR="00C56663" w:rsidRPr="00FE7D2E" w:rsidRDefault="00C56663" w:rsidP="00FE7D2E">
      <w:pPr>
        <w:rPr>
          <w:rFonts w:cs="Arial"/>
          <w:sz w:val="24"/>
          <w:szCs w:val="24"/>
        </w:rPr>
      </w:pPr>
    </w:p>
    <w:p w14:paraId="614C0F46" w14:textId="77777777"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 xml:space="preserve">Section 1557 of the Affordable Care Act is the most important and specific nondiscrimination provision operating at the junction of disability rights and healthcare since the passage of the ADA. As noted in the preamble to the 2022 Notice of Public Rulemaking on Section 1557, “Title VI, Section 504, and the Age Act apply to </w:t>
      </w:r>
      <w:r w:rsidRPr="00FE7D2E">
        <w:rPr>
          <w:rFonts w:eastAsia="Times New Roman" w:cs="Arial"/>
          <w:i/>
          <w:iCs/>
          <w:color w:val="000000" w:themeColor="text1"/>
          <w:sz w:val="24"/>
          <w:szCs w:val="24"/>
        </w:rPr>
        <w:t xml:space="preserve">all </w:t>
      </w:r>
      <w:r w:rsidRPr="00FE7D2E">
        <w:rPr>
          <w:rFonts w:eastAsia="Times New Roman" w:cs="Arial"/>
          <w:color w:val="000000" w:themeColor="text1"/>
          <w:sz w:val="24"/>
          <w:szCs w:val="24"/>
        </w:rPr>
        <w:t xml:space="preserve">federally funded programs or activities, Section 1557 applies only to </w:t>
      </w:r>
      <w:r w:rsidRPr="00FE7D2E">
        <w:rPr>
          <w:rFonts w:eastAsia="Times New Roman" w:cs="Arial"/>
          <w:i/>
          <w:iCs/>
          <w:color w:val="000000" w:themeColor="text1"/>
          <w:sz w:val="24"/>
          <w:szCs w:val="24"/>
        </w:rPr>
        <w:t xml:space="preserve">health </w:t>
      </w:r>
      <w:r w:rsidRPr="00FE7D2E">
        <w:rPr>
          <w:rFonts w:eastAsia="Times New Roman" w:cs="Arial"/>
          <w:color w:val="000000" w:themeColor="text1"/>
          <w:sz w:val="24"/>
          <w:szCs w:val="24"/>
        </w:rPr>
        <w:t>programs or activities.”</w:t>
      </w:r>
      <w:r w:rsidRPr="00FE7D2E">
        <w:rPr>
          <w:rStyle w:val="EndnoteReference"/>
          <w:rFonts w:eastAsia="Times New Roman" w:cs="Arial"/>
          <w:color w:val="000000" w:themeColor="text1"/>
          <w:sz w:val="24"/>
          <w:szCs w:val="24"/>
        </w:rPr>
        <w:endnoteReference w:id="6"/>
      </w:r>
      <w:r w:rsidRPr="00FE7D2E">
        <w:rPr>
          <w:rFonts w:eastAsia="Times New Roman" w:cs="Arial"/>
          <w:color w:val="000000" w:themeColor="text1"/>
          <w:sz w:val="24"/>
          <w:szCs w:val="24"/>
        </w:rPr>
        <w:t xml:space="preserve"> </w:t>
      </w:r>
      <w:r w:rsidRPr="00FE7D2E">
        <w:rPr>
          <w:rFonts w:eastAsia="Times New Roman" w:cs="Arial"/>
          <w:color w:val="000000" w:themeColor="text1"/>
          <w:sz w:val="24"/>
          <w:szCs w:val="24"/>
          <w:shd w:val="clear" w:color="auto" w:fill="FFFFFF"/>
        </w:rPr>
        <w:t>While Section 1557 cites to and incorporates the discrimination grounds and enforcement mechanisms available under Section 504, HHS has recognized that current regulations "provide[] no guidance on how covered entities are to implement their compliance responsibilities under Section 1557 and, in particular, whether those responsibilities are the same as, or deviate from, their compliance responsibilities under... Section 504... Rather, it generally states the nondiscrimination requirements of Section 1557 by restating the statutory language of 42 U.S.C. 18116(a), followed by stating that the grounds prohibited are the grounds found in... Section 504....The resulting uncertainty is particularly stark for procedural requirements."</w:t>
      </w:r>
      <w:r w:rsidRPr="00FE7D2E">
        <w:rPr>
          <w:rStyle w:val="EndnoteReference"/>
          <w:rFonts w:eastAsia="Times New Roman" w:cs="Arial"/>
          <w:color w:val="000000" w:themeColor="text1"/>
          <w:sz w:val="24"/>
          <w:szCs w:val="24"/>
          <w:shd w:val="clear" w:color="auto" w:fill="FFFFFF"/>
        </w:rPr>
        <w:endnoteReference w:id="7"/>
      </w:r>
      <w:r w:rsidRPr="00FE7D2E">
        <w:rPr>
          <w:rFonts w:eastAsia="Times New Roman" w:cs="Arial"/>
          <w:color w:val="000000" w:themeColor="text1"/>
          <w:sz w:val="24"/>
          <w:szCs w:val="24"/>
          <w:shd w:val="clear" w:color="auto" w:fill="FFFFFF"/>
        </w:rPr>
        <w:t xml:space="preserve">  </w:t>
      </w:r>
    </w:p>
    <w:p w14:paraId="3DF2C89F" w14:textId="77777777"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 </w:t>
      </w:r>
    </w:p>
    <w:p w14:paraId="26074D96" w14:textId="77777777"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Enacted 37 years after Section 504 and 20 years after the ADA, Section 1557 can and should be seen as an expression of the will of Congress concerning the right of people with disabilities to be free of discrimination in the programs or activities of entities that provide health-related services, health insurance coverage, or other health-related coverage.</w:t>
      </w:r>
      <w:r w:rsidRPr="00FE7D2E">
        <w:rPr>
          <w:rStyle w:val="EndnoteReference"/>
          <w:rFonts w:eastAsia="Times New Roman" w:cs="Arial"/>
          <w:color w:val="000000" w:themeColor="text1"/>
          <w:sz w:val="24"/>
          <w:szCs w:val="24"/>
        </w:rPr>
        <w:endnoteReference w:id="8"/>
      </w:r>
      <w:r w:rsidRPr="00FE7D2E">
        <w:rPr>
          <w:rFonts w:eastAsia="Times New Roman" w:cs="Arial"/>
          <w:color w:val="000000" w:themeColor="text1"/>
          <w:sz w:val="24"/>
          <w:szCs w:val="24"/>
        </w:rPr>
        <w:t xml:space="preserve"> The wording of Section 1557 itself, which sweeps in “credits, subsidies, and contracts of insurance” as forms of federal financial assistance, broadcasts its intent to require nondiscrimination of health insurance issuers and not only the health service providers that have traditionally been the focus of </w:t>
      </w:r>
      <w:r w:rsidRPr="00FE7D2E">
        <w:rPr>
          <w:rFonts w:eastAsia="Times New Roman" w:cs="Arial"/>
          <w:color w:val="000000" w:themeColor="text1"/>
          <w:sz w:val="24"/>
          <w:szCs w:val="24"/>
        </w:rPr>
        <w:lastRenderedPageBreak/>
        <w:t>Section 504 and the ADA. Moreover, the Secretary of HHS is given authority to enact regulations for the interpretation, monitoring, and enforcement of both Section 1557 and Section 504. Since the current proposed rule is intended to update and clarify the operation of Section 504 in light of key legislation, cases, and world events such as the COVID-19 pandemic, we strongly urge OCR to further parse out in this proposed rule how Section 504 and Section 1557 work together to protect people with disabilities from common discriminatory barriers that arise across multiple types of healthcare entities that function in the complex US healthcare system.</w:t>
      </w:r>
    </w:p>
    <w:p w14:paraId="01383476" w14:textId="77777777" w:rsidR="004A7018" w:rsidRPr="00FE7D2E" w:rsidRDefault="004A7018" w:rsidP="00FE7D2E">
      <w:pPr>
        <w:rPr>
          <w:rFonts w:eastAsia="Times New Roman" w:cs="Arial"/>
          <w:color w:val="000000" w:themeColor="text1"/>
          <w:sz w:val="24"/>
          <w:szCs w:val="24"/>
        </w:rPr>
      </w:pPr>
    </w:p>
    <w:p w14:paraId="6441327C" w14:textId="40D689F5"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We recommend that HHS OCR incorporate provisions that will explicitly recognize the purpose and intent of the following nondiscrimination sections from the 1557 NPRM and apply them to the “broader range of programs and activities by recipients of Federal financial assistance”</w:t>
      </w:r>
      <w:r w:rsidRPr="00FE7D2E">
        <w:rPr>
          <w:rStyle w:val="EndnoteReference"/>
          <w:rFonts w:eastAsia="Times New Roman" w:cs="Arial"/>
          <w:color w:val="000000" w:themeColor="text1"/>
          <w:sz w:val="24"/>
          <w:szCs w:val="24"/>
        </w:rPr>
        <w:endnoteReference w:id="9"/>
      </w:r>
      <w:r w:rsidRPr="00FE7D2E">
        <w:rPr>
          <w:rFonts w:eastAsia="Times New Roman" w:cs="Arial"/>
          <w:color w:val="000000" w:themeColor="text1"/>
          <w:sz w:val="24"/>
          <w:szCs w:val="24"/>
        </w:rPr>
        <w:t xml:space="preserve"> that fall under Section 504</w:t>
      </w:r>
      <w:r w:rsidR="00967C8E" w:rsidRPr="00FE7D2E">
        <w:rPr>
          <w:rFonts w:eastAsia="Times New Roman" w:cs="Arial"/>
          <w:color w:val="000000" w:themeColor="text1"/>
          <w:sz w:val="24"/>
          <w:szCs w:val="24"/>
        </w:rPr>
        <w:t>, including insurance issuers</w:t>
      </w:r>
      <w:r w:rsidRPr="00FE7D2E">
        <w:rPr>
          <w:rFonts w:eastAsia="Times New Roman" w:cs="Arial"/>
          <w:color w:val="000000" w:themeColor="text1"/>
          <w:sz w:val="24"/>
          <w:szCs w:val="24"/>
        </w:rPr>
        <w:t>.</w:t>
      </w:r>
    </w:p>
    <w:p w14:paraId="343AB1EA" w14:textId="77777777" w:rsidR="004A7018" w:rsidRPr="00FE7D2E" w:rsidRDefault="004A7018" w:rsidP="00FE7D2E">
      <w:pPr>
        <w:ind w:left="720"/>
        <w:rPr>
          <w:rFonts w:eastAsia="Times New Roman" w:cs="Arial"/>
          <w:color w:val="000000" w:themeColor="text1"/>
          <w:sz w:val="24"/>
          <w:szCs w:val="24"/>
        </w:rPr>
      </w:pPr>
    </w:p>
    <w:p w14:paraId="4AC82E68" w14:textId="4C47219F" w:rsidR="004A7018" w:rsidRPr="00FE7D2E" w:rsidRDefault="004A7018" w:rsidP="00FE7D2E">
      <w:pPr>
        <w:pStyle w:val="Heading3"/>
        <w:spacing w:line="276" w:lineRule="auto"/>
        <w:rPr>
          <w:rFonts w:ascii="Arial" w:hAnsi="Arial" w:cs="Arial"/>
          <w:b w:val="0"/>
          <w:bCs w:val="0"/>
          <w:color w:val="000000" w:themeColor="text1"/>
          <w:u w:val="single"/>
        </w:rPr>
      </w:pPr>
      <w:bookmarkStart w:id="1" w:name="_Toc150176683"/>
      <w:r w:rsidRPr="00FE7D2E">
        <w:rPr>
          <w:rFonts w:ascii="Arial" w:hAnsi="Arial" w:cs="Arial"/>
          <w:b w:val="0"/>
          <w:bCs w:val="0"/>
          <w:color w:val="000000" w:themeColor="text1"/>
          <w:u w:val="single"/>
        </w:rPr>
        <w:t>T</w:t>
      </w:r>
      <w:r w:rsidRPr="00FE7D2E">
        <w:rPr>
          <w:rFonts w:ascii="Arial" w:hAnsi="Arial" w:cs="Arial"/>
          <w:b w:val="0"/>
          <w:bCs w:val="0"/>
          <w:color w:val="000000" w:themeColor="text1"/>
          <w:u w:val="single"/>
        </w:rPr>
        <w:t xml:space="preserve">he </w:t>
      </w:r>
      <w:r w:rsidRPr="00FE7D2E">
        <w:rPr>
          <w:rFonts w:ascii="Arial" w:hAnsi="Arial" w:cs="Arial"/>
          <w:b w:val="0"/>
          <w:bCs w:val="0"/>
          <w:color w:val="000000" w:themeColor="text1"/>
          <w:u w:val="single"/>
        </w:rPr>
        <w:t>U</w:t>
      </w:r>
      <w:r w:rsidRPr="00FE7D2E">
        <w:rPr>
          <w:rFonts w:ascii="Arial" w:hAnsi="Arial" w:cs="Arial"/>
          <w:b w:val="0"/>
          <w:bCs w:val="0"/>
          <w:color w:val="000000" w:themeColor="text1"/>
          <w:u w:val="single"/>
        </w:rPr>
        <w:t xml:space="preserve">se of </w:t>
      </w:r>
      <w:r w:rsidRPr="00FE7D2E">
        <w:rPr>
          <w:rFonts w:ascii="Arial" w:hAnsi="Arial" w:cs="Arial"/>
          <w:b w:val="0"/>
          <w:bCs w:val="0"/>
          <w:color w:val="000000" w:themeColor="text1"/>
          <w:u w:val="single"/>
        </w:rPr>
        <w:t>A</w:t>
      </w:r>
      <w:r w:rsidRPr="00FE7D2E">
        <w:rPr>
          <w:rFonts w:ascii="Arial" w:hAnsi="Arial" w:cs="Arial"/>
          <w:b w:val="0"/>
          <w:bCs w:val="0"/>
          <w:color w:val="000000" w:themeColor="text1"/>
          <w:u w:val="single"/>
        </w:rPr>
        <w:t xml:space="preserve">utomated </w:t>
      </w:r>
      <w:r w:rsidRPr="00FE7D2E">
        <w:rPr>
          <w:rFonts w:ascii="Arial" w:hAnsi="Arial" w:cs="Arial"/>
          <w:b w:val="0"/>
          <w:bCs w:val="0"/>
          <w:color w:val="000000" w:themeColor="text1"/>
          <w:u w:val="single"/>
        </w:rPr>
        <w:t>D</w:t>
      </w:r>
      <w:r w:rsidRPr="00FE7D2E">
        <w:rPr>
          <w:rFonts w:ascii="Arial" w:hAnsi="Arial" w:cs="Arial"/>
          <w:b w:val="0"/>
          <w:bCs w:val="0"/>
          <w:color w:val="000000" w:themeColor="text1"/>
          <w:u w:val="single"/>
        </w:rPr>
        <w:t>ecision-</w:t>
      </w:r>
      <w:r w:rsidRPr="00FE7D2E">
        <w:rPr>
          <w:rFonts w:ascii="Arial" w:hAnsi="Arial" w:cs="Arial"/>
          <w:b w:val="0"/>
          <w:bCs w:val="0"/>
          <w:color w:val="000000" w:themeColor="text1"/>
          <w:u w:val="single"/>
        </w:rPr>
        <w:t>M</w:t>
      </w:r>
      <w:r w:rsidRPr="00FE7D2E">
        <w:rPr>
          <w:rFonts w:ascii="Arial" w:hAnsi="Arial" w:cs="Arial"/>
          <w:b w:val="0"/>
          <w:bCs w:val="0"/>
          <w:color w:val="000000" w:themeColor="text1"/>
          <w:u w:val="single"/>
        </w:rPr>
        <w:t xml:space="preserve">aking </w:t>
      </w:r>
      <w:r w:rsidRPr="00FE7D2E">
        <w:rPr>
          <w:rFonts w:ascii="Arial" w:hAnsi="Arial" w:cs="Arial"/>
          <w:b w:val="0"/>
          <w:bCs w:val="0"/>
          <w:color w:val="000000" w:themeColor="text1"/>
          <w:u w:val="single"/>
        </w:rPr>
        <w:t>T</w:t>
      </w:r>
      <w:r w:rsidRPr="00FE7D2E">
        <w:rPr>
          <w:rFonts w:ascii="Arial" w:hAnsi="Arial" w:cs="Arial"/>
          <w:b w:val="0"/>
          <w:bCs w:val="0"/>
          <w:color w:val="000000" w:themeColor="text1"/>
          <w:u w:val="single"/>
        </w:rPr>
        <w:t xml:space="preserve">ools and </w:t>
      </w:r>
      <w:r w:rsidRPr="00FE7D2E">
        <w:rPr>
          <w:rFonts w:ascii="Arial" w:hAnsi="Arial" w:cs="Arial"/>
          <w:b w:val="0"/>
          <w:bCs w:val="0"/>
          <w:color w:val="000000" w:themeColor="text1"/>
          <w:u w:val="single"/>
        </w:rPr>
        <w:t>S</w:t>
      </w:r>
      <w:r w:rsidRPr="00FE7D2E">
        <w:rPr>
          <w:rFonts w:ascii="Arial" w:hAnsi="Arial" w:cs="Arial"/>
          <w:b w:val="0"/>
          <w:bCs w:val="0"/>
          <w:color w:val="000000" w:themeColor="text1"/>
          <w:u w:val="single"/>
        </w:rPr>
        <w:t>ystems</w:t>
      </w:r>
      <w:bookmarkEnd w:id="1"/>
    </w:p>
    <w:p w14:paraId="7CA921CC" w14:textId="77777777" w:rsidR="004A7018" w:rsidRPr="00FE7D2E" w:rsidRDefault="004A7018" w:rsidP="00FE7D2E">
      <w:pPr>
        <w:rPr>
          <w:rFonts w:eastAsia="Times New Roman" w:cs="Arial"/>
          <w:color w:val="000000" w:themeColor="text1"/>
          <w:sz w:val="24"/>
          <w:szCs w:val="24"/>
        </w:rPr>
      </w:pPr>
    </w:p>
    <w:p w14:paraId="7F827D07" w14:textId="77777777"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 xml:space="preserve">Disability-related bias can be incorporated in a wide range of automated decision-making tools formally and informally used by issuers of health and health-related coverage, but they can equally play important roles in the systemic procedures, policy-making, and individual patient/client/enrollee decisions made by recipients of federal financial assistance. For example, child welfare agencies may use predictive algorithms or clinical decision trees that rank a parent or child’s disability as a factor for taking away custody or denying reunification services, but those tools are operating on the level of simple statistical correlation without any individualized analysis of whether or how a family member’s specific disabilities and the potential for disability-related supports affect the child’s wellbeing. </w:t>
      </w:r>
    </w:p>
    <w:p w14:paraId="4C03615D" w14:textId="77777777" w:rsidR="004A7018" w:rsidRPr="00FE7D2E" w:rsidRDefault="004A7018" w:rsidP="00FE7D2E">
      <w:pPr>
        <w:rPr>
          <w:rFonts w:eastAsia="Times New Roman" w:cs="Arial"/>
          <w:color w:val="000000" w:themeColor="text1"/>
          <w:sz w:val="24"/>
          <w:szCs w:val="24"/>
        </w:rPr>
      </w:pPr>
    </w:p>
    <w:p w14:paraId="38BB1550" w14:textId="77777777"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Similarly, clinical guidance tools that point to the existence of multiple providers as a predictive risk-factor for opioid abuse fail to consider how people with multiple and significant disabilities will have multiple healthcare providers.</w:t>
      </w:r>
      <w:r w:rsidRPr="00FE7D2E">
        <w:rPr>
          <w:rStyle w:val="EndnoteReference"/>
          <w:rFonts w:eastAsia="Times New Roman" w:cs="Arial"/>
          <w:color w:val="000000" w:themeColor="text1"/>
          <w:sz w:val="24"/>
          <w:szCs w:val="24"/>
        </w:rPr>
        <w:endnoteReference w:id="10"/>
      </w:r>
      <w:r w:rsidRPr="00FE7D2E">
        <w:rPr>
          <w:rFonts w:eastAsia="Times New Roman" w:cs="Arial"/>
          <w:color w:val="000000" w:themeColor="text1"/>
          <w:sz w:val="24"/>
          <w:szCs w:val="24"/>
        </w:rPr>
        <w:t xml:space="preserve"> In another example, the historic and ongoing lack of functional disability data in health records means that decision-making tools and systems have not been adequately trained to recognize how factors such as the use of personal care assistance are inadequately recognized in the allocation of home and community-based services and supports, including care coordination. Language in regulations enacted under Section 504 does not have to simply echo proposed language for a Section 1557</w:t>
      </w:r>
      <w:r w:rsidRPr="00FE7D2E">
        <w:rPr>
          <w:rStyle w:val="EndnoteReference"/>
          <w:rFonts w:eastAsia="Times New Roman" w:cs="Arial"/>
          <w:color w:val="000000" w:themeColor="text1"/>
          <w:sz w:val="24"/>
          <w:szCs w:val="24"/>
        </w:rPr>
        <w:endnoteReference w:id="11"/>
      </w:r>
      <w:r w:rsidRPr="00FE7D2E">
        <w:rPr>
          <w:rFonts w:eastAsia="Times New Roman" w:cs="Arial"/>
          <w:color w:val="000000" w:themeColor="text1"/>
          <w:sz w:val="24"/>
          <w:szCs w:val="24"/>
        </w:rPr>
        <w:t xml:space="preserve"> rule given the broad reach of Section 504 and recipients who engage in multiple kinds of decision-making, from medical treatment to family interventions to benefit eligibility and coverage. </w:t>
      </w:r>
    </w:p>
    <w:p w14:paraId="7C2D6072" w14:textId="77777777" w:rsidR="004A7018" w:rsidRPr="00FE7D2E" w:rsidRDefault="004A7018" w:rsidP="00FE7D2E">
      <w:pPr>
        <w:rPr>
          <w:rFonts w:eastAsia="Times New Roman" w:cs="Arial"/>
          <w:color w:val="000000" w:themeColor="text1"/>
          <w:sz w:val="24"/>
          <w:szCs w:val="24"/>
        </w:rPr>
      </w:pPr>
    </w:p>
    <w:p w14:paraId="73D9F311" w14:textId="5B41A456"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 xml:space="preserve">We recommend that HHS explicitly clarify that prohibitions on discrimination already contained in the proposed rule, such as those found at (§ </w:t>
      </w:r>
      <w:r w:rsidRPr="00FE7D2E">
        <w:rPr>
          <w:rFonts w:cs="Arial"/>
          <w:color w:val="000000" w:themeColor="text1"/>
          <w:sz w:val="24"/>
          <w:szCs w:val="24"/>
        </w:rPr>
        <w:t xml:space="preserve">84.68(b)(8)) and (§ 84.60(c)), fully encompass </w:t>
      </w:r>
      <w:r w:rsidRPr="00FE7D2E">
        <w:rPr>
          <w:rFonts w:cs="Arial"/>
          <w:color w:val="000000" w:themeColor="text1"/>
          <w:sz w:val="24"/>
          <w:szCs w:val="24"/>
        </w:rPr>
        <w:lastRenderedPageBreak/>
        <w:t xml:space="preserve">situations that involve some use of automated decision-making tools and </w:t>
      </w:r>
      <w:r w:rsidR="00967C8E" w:rsidRPr="00FE7D2E">
        <w:rPr>
          <w:rFonts w:cs="Arial"/>
          <w:color w:val="000000" w:themeColor="text1"/>
          <w:sz w:val="24"/>
          <w:szCs w:val="24"/>
        </w:rPr>
        <w:t>systems and</w:t>
      </w:r>
      <w:r w:rsidRPr="00FE7D2E">
        <w:rPr>
          <w:rFonts w:cs="Arial"/>
          <w:color w:val="000000" w:themeColor="text1"/>
          <w:sz w:val="24"/>
          <w:szCs w:val="24"/>
        </w:rPr>
        <w:t xml:space="preserve"> take the opportunity to clarify that the employment of automated decision-making tools and systems by recipients must be transparent and readily subject to appeal.</w:t>
      </w:r>
    </w:p>
    <w:p w14:paraId="401DB85B" w14:textId="77777777" w:rsidR="00967C8E" w:rsidRPr="00FE7D2E" w:rsidRDefault="00967C8E" w:rsidP="00FE7D2E">
      <w:pPr>
        <w:rPr>
          <w:rFonts w:eastAsia="Times New Roman" w:cs="Arial"/>
          <w:color w:val="000000" w:themeColor="text1"/>
          <w:sz w:val="24"/>
          <w:szCs w:val="24"/>
        </w:rPr>
      </w:pPr>
    </w:p>
    <w:p w14:paraId="67D6DB97" w14:textId="42221542" w:rsidR="004A7018" w:rsidRPr="00FE7D2E" w:rsidRDefault="004A7018" w:rsidP="00FE7D2E">
      <w:pPr>
        <w:pStyle w:val="Heading3"/>
        <w:spacing w:line="276" w:lineRule="auto"/>
        <w:rPr>
          <w:rFonts w:ascii="Arial" w:hAnsi="Arial" w:cs="Arial"/>
          <w:b w:val="0"/>
          <w:bCs w:val="0"/>
          <w:color w:val="000000" w:themeColor="text1"/>
          <w:u w:val="single"/>
        </w:rPr>
      </w:pPr>
      <w:bookmarkStart w:id="2" w:name="_Toc150176684"/>
      <w:r w:rsidRPr="00FE7D2E">
        <w:rPr>
          <w:rFonts w:ascii="Arial" w:hAnsi="Arial" w:cs="Arial"/>
          <w:b w:val="0"/>
          <w:bCs w:val="0"/>
          <w:color w:val="000000" w:themeColor="text1"/>
          <w:u w:val="single"/>
        </w:rPr>
        <w:t xml:space="preserve">Benefit </w:t>
      </w:r>
      <w:r w:rsidRPr="00FE7D2E">
        <w:rPr>
          <w:rFonts w:ascii="Arial" w:hAnsi="Arial" w:cs="Arial"/>
          <w:b w:val="0"/>
          <w:bCs w:val="0"/>
          <w:color w:val="000000" w:themeColor="text1"/>
          <w:u w:val="single"/>
        </w:rPr>
        <w:t>D</w:t>
      </w:r>
      <w:r w:rsidRPr="00FE7D2E">
        <w:rPr>
          <w:rFonts w:ascii="Arial" w:hAnsi="Arial" w:cs="Arial"/>
          <w:b w:val="0"/>
          <w:bCs w:val="0"/>
          <w:color w:val="000000" w:themeColor="text1"/>
          <w:u w:val="single"/>
        </w:rPr>
        <w:t xml:space="preserve">esign and </w:t>
      </w:r>
      <w:r w:rsidRPr="00FE7D2E">
        <w:rPr>
          <w:rFonts w:ascii="Arial" w:hAnsi="Arial" w:cs="Arial"/>
          <w:b w:val="0"/>
          <w:bCs w:val="0"/>
          <w:color w:val="000000" w:themeColor="text1"/>
          <w:u w:val="single"/>
        </w:rPr>
        <w:t>R</w:t>
      </w:r>
      <w:r w:rsidRPr="00FE7D2E">
        <w:rPr>
          <w:rFonts w:ascii="Arial" w:hAnsi="Arial" w:cs="Arial"/>
          <w:b w:val="0"/>
          <w:bCs w:val="0"/>
          <w:color w:val="000000" w:themeColor="text1"/>
          <w:u w:val="single"/>
        </w:rPr>
        <w:t xml:space="preserve">elated </w:t>
      </w:r>
      <w:r w:rsidRPr="00FE7D2E">
        <w:rPr>
          <w:rFonts w:ascii="Arial" w:hAnsi="Arial" w:cs="Arial"/>
          <w:b w:val="0"/>
          <w:bCs w:val="0"/>
          <w:color w:val="000000" w:themeColor="text1"/>
          <w:u w:val="single"/>
        </w:rPr>
        <w:t>C</w:t>
      </w:r>
      <w:r w:rsidRPr="00FE7D2E">
        <w:rPr>
          <w:rFonts w:ascii="Arial" w:hAnsi="Arial" w:cs="Arial"/>
          <w:b w:val="0"/>
          <w:bCs w:val="0"/>
          <w:color w:val="000000" w:themeColor="text1"/>
          <w:u w:val="single"/>
        </w:rPr>
        <w:t>oncepts</w:t>
      </w:r>
      <w:bookmarkEnd w:id="2"/>
      <w:r w:rsidRPr="00FE7D2E">
        <w:rPr>
          <w:rFonts w:ascii="Arial" w:hAnsi="Arial" w:cs="Arial"/>
          <w:b w:val="0"/>
          <w:bCs w:val="0"/>
          <w:color w:val="000000" w:themeColor="text1"/>
          <w:u w:val="single"/>
        </w:rPr>
        <w:t xml:space="preserve"> </w:t>
      </w:r>
    </w:p>
    <w:p w14:paraId="38B31A8E" w14:textId="77777777" w:rsidR="004A7018" w:rsidRPr="00FE7D2E" w:rsidRDefault="004A7018" w:rsidP="00FE7D2E">
      <w:pPr>
        <w:rPr>
          <w:rFonts w:eastAsia="Times New Roman" w:cs="Arial"/>
          <w:color w:val="000000" w:themeColor="text1"/>
          <w:sz w:val="24"/>
          <w:szCs w:val="24"/>
        </w:rPr>
      </w:pPr>
    </w:p>
    <w:p w14:paraId="4A0E863D" w14:textId="77777777"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The preamble to the proposed rule states that “this rule does not relate to benefit design or other health insurance coverage issues.”</w:t>
      </w:r>
      <w:r w:rsidRPr="00FE7D2E">
        <w:rPr>
          <w:rStyle w:val="EndnoteReference"/>
          <w:rFonts w:eastAsia="Times New Roman" w:cs="Arial"/>
          <w:color w:val="000000" w:themeColor="text1"/>
          <w:sz w:val="24"/>
          <w:szCs w:val="24"/>
        </w:rPr>
        <w:endnoteReference w:id="12"/>
      </w:r>
      <w:r w:rsidRPr="00FE7D2E">
        <w:rPr>
          <w:rFonts w:eastAsia="Times New Roman" w:cs="Arial"/>
          <w:color w:val="000000" w:themeColor="text1"/>
          <w:sz w:val="24"/>
          <w:szCs w:val="24"/>
        </w:rPr>
        <w:t xml:space="preserve"> However, benefit design does not only conceptually apply to health insurance coverage. The design and delivery of health and health-related services is greatly impacted by multiple factors such as the quality and depth of provider networks, the use of utilization management tools, the use of automated decision-making tools and systems, the choice and application of equity and quality measures, how service denials can be appealed, how patient data is recorded and aggregated, and so forth. Conceptually, it can be difficult to distinguish where “benefit design” ends and where these myriad aspects of service delivery and accessibility begin, but Section 504 must be able to reach the many barriers for people with disabilities that can be embedded in all these different facets of health and human service delivery. There is no reason to disavow benefit design from the reach of the proposed rule, and every reason to follow the proposed Section 1557 rule's lead in embedding key aspects of the proposed rule such as the integration mandate as a required aspect of all these related concepts. We recommend modifying the assertion in the preamble that the proposed rule does not relate to benefit design, or deleting it altogether.</w:t>
      </w:r>
    </w:p>
    <w:p w14:paraId="644C4F81" w14:textId="77777777" w:rsidR="00967C8E" w:rsidRPr="00FE7D2E" w:rsidRDefault="00967C8E" w:rsidP="00FE7D2E">
      <w:pPr>
        <w:rPr>
          <w:rFonts w:eastAsia="Times New Roman" w:cs="Arial"/>
          <w:color w:val="000000" w:themeColor="text1"/>
          <w:sz w:val="24"/>
          <w:szCs w:val="24"/>
        </w:rPr>
      </w:pPr>
    </w:p>
    <w:p w14:paraId="0D07F9B4" w14:textId="30DCAE65" w:rsidR="004A7018" w:rsidRPr="00FE7D2E" w:rsidRDefault="004A7018" w:rsidP="00FE7D2E">
      <w:pPr>
        <w:pStyle w:val="Heading3"/>
        <w:spacing w:line="276" w:lineRule="auto"/>
        <w:rPr>
          <w:rFonts w:ascii="Arial" w:hAnsi="Arial" w:cs="Arial"/>
          <w:b w:val="0"/>
          <w:bCs w:val="0"/>
          <w:color w:val="000000" w:themeColor="text1"/>
          <w:u w:val="single"/>
        </w:rPr>
      </w:pPr>
      <w:bookmarkStart w:id="3" w:name="_Toc150176685"/>
      <w:r w:rsidRPr="00FE7D2E">
        <w:rPr>
          <w:rFonts w:ascii="Arial" w:hAnsi="Arial" w:cs="Arial"/>
          <w:b w:val="0"/>
          <w:bCs w:val="0"/>
          <w:color w:val="000000" w:themeColor="text1"/>
          <w:u w:val="single"/>
        </w:rPr>
        <w:t>C</w:t>
      </w:r>
      <w:r w:rsidRPr="00FE7D2E">
        <w:rPr>
          <w:rFonts w:ascii="Arial" w:hAnsi="Arial" w:cs="Arial"/>
          <w:b w:val="0"/>
          <w:bCs w:val="0"/>
          <w:color w:val="000000" w:themeColor="text1"/>
          <w:u w:val="single"/>
        </w:rPr>
        <w:t xml:space="preserve">ollection of </w:t>
      </w:r>
      <w:r w:rsidRPr="00FE7D2E">
        <w:rPr>
          <w:rFonts w:ascii="Arial" w:hAnsi="Arial" w:cs="Arial"/>
          <w:b w:val="0"/>
          <w:bCs w:val="0"/>
          <w:color w:val="000000" w:themeColor="text1"/>
          <w:u w:val="single"/>
        </w:rPr>
        <w:t>F</w:t>
      </w:r>
      <w:r w:rsidRPr="00FE7D2E">
        <w:rPr>
          <w:rFonts w:ascii="Arial" w:hAnsi="Arial" w:cs="Arial"/>
          <w:b w:val="0"/>
          <w:bCs w:val="0"/>
          <w:color w:val="000000" w:themeColor="text1"/>
          <w:u w:val="single"/>
        </w:rPr>
        <w:t xml:space="preserve">unctional </w:t>
      </w:r>
      <w:r w:rsidRPr="00FE7D2E">
        <w:rPr>
          <w:rFonts w:ascii="Arial" w:hAnsi="Arial" w:cs="Arial"/>
          <w:b w:val="0"/>
          <w:bCs w:val="0"/>
          <w:color w:val="000000" w:themeColor="text1"/>
          <w:u w:val="single"/>
        </w:rPr>
        <w:t>D</w:t>
      </w:r>
      <w:r w:rsidRPr="00FE7D2E">
        <w:rPr>
          <w:rFonts w:ascii="Arial" w:hAnsi="Arial" w:cs="Arial"/>
          <w:b w:val="0"/>
          <w:bCs w:val="0"/>
          <w:color w:val="000000" w:themeColor="text1"/>
          <w:u w:val="single"/>
        </w:rPr>
        <w:t xml:space="preserve">isability </w:t>
      </w:r>
      <w:r w:rsidRPr="00FE7D2E">
        <w:rPr>
          <w:rFonts w:ascii="Arial" w:hAnsi="Arial" w:cs="Arial"/>
          <w:b w:val="0"/>
          <w:bCs w:val="0"/>
          <w:color w:val="000000" w:themeColor="text1"/>
          <w:u w:val="single"/>
        </w:rPr>
        <w:t>D</w:t>
      </w:r>
      <w:r w:rsidRPr="00FE7D2E">
        <w:rPr>
          <w:rFonts w:ascii="Arial" w:hAnsi="Arial" w:cs="Arial"/>
          <w:b w:val="0"/>
          <w:bCs w:val="0"/>
          <w:color w:val="000000" w:themeColor="text1"/>
          <w:u w:val="single"/>
        </w:rPr>
        <w:t xml:space="preserve">ata for </w:t>
      </w:r>
      <w:r w:rsidRPr="00FE7D2E">
        <w:rPr>
          <w:rFonts w:ascii="Arial" w:hAnsi="Arial" w:cs="Arial"/>
          <w:b w:val="0"/>
          <w:bCs w:val="0"/>
          <w:color w:val="000000" w:themeColor="text1"/>
          <w:u w:val="single"/>
        </w:rPr>
        <w:t>D</w:t>
      </w:r>
      <w:r w:rsidRPr="00FE7D2E">
        <w:rPr>
          <w:rFonts w:ascii="Arial" w:hAnsi="Arial" w:cs="Arial"/>
          <w:b w:val="0"/>
          <w:bCs w:val="0"/>
          <w:color w:val="000000" w:themeColor="text1"/>
          <w:u w:val="single"/>
        </w:rPr>
        <w:t xml:space="preserve">emographic </w:t>
      </w:r>
      <w:r w:rsidRPr="00FE7D2E">
        <w:rPr>
          <w:rFonts w:ascii="Arial" w:hAnsi="Arial" w:cs="Arial"/>
          <w:b w:val="0"/>
          <w:bCs w:val="0"/>
          <w:color w:val="000000" w:themeColor="text1"/>
          <w:u w:val="single"/>
        </w:rPr>
        <w:t>P</w:t>
      </w:r>
      <w:r w:rsidRPr="00FE7D2E">
        <w:rPr>
          <w:rFonts w:ascii="Arial" w:hAnsi="Arial" w:cs="Arial"/>
          <w:b w:val="0"/>
          <w:bCs w:val="0"/>
          <w:color w:val="000000" w:themeColor="text1"/>
          <w:u w:val="single"/>
        </w:rPr>
        <w:t>urposes</w:t>
      </w:r>
      <w:bookmarkEnd w:id="3"/>
    </w:p>
    <w:p w14:paraId="0603210C" w14:textId="77777777" w:rsidR="004A7018" w:rsidRPr="00FE7D2E" w:rsidRDefault="004A7018" w:rsidP="00FE7D2E">
      <w:pPr>
        <w:rPr>
          <w:rFonts w:eastAsia="Times New Roman" w:cs="Arial"/>
          <w:color w:val="000000" w:themeColor="text1"/>
          <w:sz w:val="24"/>
          <w:szCs w:val="24"/>
        </w:rPr>
      </w:pPr>
    </w:p>
    <w:p w14:paraId="411774BE" w14:textId="0969EA3A" w:rsidR="004A7018" w:rsidRPr="00FE7D2E" w:rsidRDefault="004A7018" w:rsidP="00FE7D2E">
      <w:pPr>
        <w:rPr>
          <w:rFonts w:eastAsia="Times New Roman" w:cs="Arial"/>
          <w:color w:val="000000" w:themeColor="text1"/>
          <w:sz w:val="24"/>
          <w:szCs w:val="24"/>
        </w:rPr>
      </w:pPr>
      <w:r w:rsidRPr="00FE7D2E">
        <w:rPr>
          <w:rFonts w:eastAsia="Times New Roman" w:cs="Arial"/>
          <w:color w:val="000000" w:themeColor="text1"/>
          <w:sz w:val="24"/>
          <w:szCs w:val="24"/>
        </w:rPr>
        <w:t xml:space="preserve">Section 1557 does not directly address disability demographic data collection in electronic health records or administrative forms, but the consistent provision of needed individual accommodations and the full inclusion of disabled people within burgeoning health equity and quality initiatives cannot take place without such data collection. The recognition of the need </w:t>
      </w:r>
      <w:r w:rsidR="00AF5C08" w:rsidRPr="00FE7D2E">
        <w:rPr>
          <w:rFonts w:eastAsia="Times New Roman" w:cs="Arial"/>
          <w:color w:val="000000" w:themeColor="text1"/>
          <w:sz w:val="24"/>
          <w:szCs w:val="24"/>
        </w:rPr>
        <w:t xml:space="preserve">for </w:t>
      </w:r>
      <w:r w:rsidRPr="00FE7D2E">
        <w:rPr>
          <w:rFonts w:eastAsia="Times New Roman" w:cs="Arial"/>
          <w:color w:val="000000" w:themeColor="text1"/>
          <w:sz w:val="24"/>
          <w:szCs w:val="24"/>
        </w:rPr>
        <w:t>and importance of disability demographic data to nondiscrimination protections is especially timely when the common acquisition, sale, storage, and unregulated use of Big Data makes it possible to impute disability to individuals who then face negative repercussions, but those same individuals are then excluded from granular healthcare disparities analyses and equity initiatives that would help ensure their equal access to healthcare.</w:t>
      </w:r>
      <w:r w:rsidR="00573EC5" w:rsidRPr="00FE7D2E">
        <w:rPr>
          <w:rStyle w:val="EndnoteReference"/>
          <w:rFonts w:eastAsia="Times New Roman" w:cs="Arial"/>
          <w:color w:val="000000" w:themeColor="text1"/>
          <w:sz w:val="24"/>
          <w:szCs w:val="24"/>
        </w:rPr>
        <w:endnoteReference w:id="13"/>
      </w:r>
      <w:r w:rsidRPr="00FE7D2E">
        <w:rPr>
          <w:rFonts w:eastAsia="Times New Roman" w:cs="Arial"/>
          <w:color w:val="000000" w:themeColor="text1"/>
          <w:sz w:val="24"/>
          <w:szCs w:val="24"/>
        </w:rPr>
        <w:t xml:space="preserve"> We recommend including a provision in the proposed rule that would require recipients to gather disability demographic information that would allow for the equal inclusion of people with disabilities in equity and quality analyses, including information on whether and how people with disabilities received accommodations needed for equally effective medical treatment.</w:t>
      </w:r>
      <w:r w:rsidR="00573EC5" w:rsidRPr="00FE7D2E">
        <w:rPr>
          <w:rStyle w:val="EndnoteReference"/>
          <w:rFonts w:eastAsia="Times New Roman" w:cs="Arial"/>
          <w:color w:val="000000" w:themeColor="text1"/>
          <w:sz w:val="24"/>
          <w:szCs w:val="24"/>
        </w:rPr>
        <w:endnoteReference w:id="14"/>
      </w:r>
    </w:p>
    <w:p w14:paraId="6AEC3DD4" w14:textId="77777777" w:rsidR="003970C9" w:rsidRPr="00FE7D2E" w:rsidRDefault="003970C9" w:rsidP="00FE7D2E">
      <w:pPr>
        <w:rPr>
          <w:rFonts w:cs="Arial"/>
          <w:color w:val="000000"/>
          <w:sz w:val="24"/>
          <w:szCs w:val="24"/>
        </w:rPr>
      </w:pPr>
    </w:p>
    <w:p w14:paraId="7F9186B6" w14:textId="02E13CA3" w:rsidR="003970C9" w:rsidRPr="00FE7D2E" w:rsidRDefault="004A7018" w:rsidP="00FE7D2E">
      <w:pPr>
        <w:rPr>
          <w:rFonts w:cs="Arial"/>
          <w:color w:val="000000"/>
          <w:sz w:val="24"/>
          <w:szCs w:val="24"/>
        </w:rPr>
      </w:pPr>
      <w:r w:rsidRPr="00FE7D2E">
        <w:rPr>
          <w:rFonts w:cs="Arial"/>
          <w:color w:val="000000"/>
          <w:sz w:val="24"/>
          <w:szCs w:val="24"/>
        </w:rPr>
        <w:lastRenderedPageBreak/>
        <w:t xml:space="preserve">Thank you again for the opportunity to comment </w:t>
      </w:r>
      <w:r w:rsidR="009E10CF" w:rsidRPr="00FE7D2E">
        <w:rPr>
          <w:rFonts w:cs="Arial"/>
          <w:color w:val="000000"/>
          <w:sz w:val="24"/>
          <w:szCs w:val="24"/>
        </w:rPr>
        <w:t>on the proposed rule. Please feel free to contact us if you have any questions about our responses to select sections of the rule or any recommendations we have made above.</w:t>
      </w:r>
    </w:p>
    <w:p w14:paraId="03EA7B29" w14:textId="77777777" w:rsidR="003970C9" w:rsidRPr="00FE7D2E" w:rsidRDefault="003970C9" w:rsidP="00FE7D2E">
      <w:pPr>
        <w:rPr>
          <w:rFonts w:cs="Arial"/>
          <w:color w:val="000000"/>
          <w:sz w:val="24"/>
          <w:szCs w:val="24"/>
        </w:rPr>
      </w:pPr>
    </w:p>
    <w:p w14:paraId="334329CB" w14:textId="77777777" w:rsidR="003970C9" w:rsidRPr="00FE7D2E" w:rsidRDefault="003970C9" w:rsidP="00FE7D2E">
      <w:pPr>
        <w:rPr>
          <w:rFonts w:cs="Arial"/>
          <w:color w:val="000000"/>
          <w:sz w:val="24"/>
          <w:szCs w:val="24"/>
        </w:rPr>
      </w:pPr>
    </w:p>
    <w:p w14:paraId="6308143A" w14:textId="77777777" w:rsidR="00403DFA" w:rsidRPr="00FE7D2E" w:rsidRDefault="00403DFA" w:rsidP="00FE7D2E">
      <w:pPr>
        <w:pStyle w:val="NormalWeb"/>
        <w:spacing w:before="0" w:beforeAutospacing="0" w:after="0" w:afterAutospacing="0" w:line="276" w:lineRule="auto"/>
        <w:rPr>
          <w:bCs/>
        </w:rPr>
      </w:pPr>
      <w:r w:rsidRPr="00FE7D2E">
        <w:rPr>
          <w:bCs/>
        </w:rPr>
        <w:t>Sincerely,</w:t>
      </w:r>
    </w:p>
    <w:p w14:paraId="47FCCF95" w14:textId="250680C6" w:rsidR="00403DFA" w:rsidRPr="00FE7D2E" w:rsidRDefault="00403DFA" w:rsidP="00FE7D2E">
      <w:pPr>
        <w:pStyle w:val="NormalWeb"/>
        <w:spacing w:before="0" w:beforeAutospacing="0" w:after="0" w:afterAutospacing="0" w:line="276" w:lineRule="auto"/>
        <w:rPr>
          <w:bCs/>
        </w:rPr>
      </w:pPr>
      <w:r w:rsidRPr="00FE7D2E">
        <w:rPr>
          <w:b/>
          <w:noProof/>
        </w:rPr>
        <w:drawing>
          <wp:inline distT="0" distB="0" distL="0" distR="0" wp14:anchorId="0150F8E0" wp14:editId="1A684E65">
            <wp:extent cx="1428750" cy="716280"/>
            <wp:effectExtent l="0" t="0" r="0" b="7620"/>
            <wp:docPr id="3" name="Picture 3" descr="Signature of Silvia 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716280"/>
                    </a:xfrm>
                    <a:prstGeom prst="rect">
                      <a:avLst/>
                    </a:prstGeom>
                    <a:noFill/>
                    <a:ln>
                      <a:noFill/>
                    </a:ln>
                  </pic:spPr>
                </pic:pic>
              </a:graphicData>
            </a:graphic>
          </wp:inline>
        </w:drawing>
      </w:r>
    </w:p>
    <w:p w14:paraId="48B47127" w14:textId="3BF372AC" w:rsidR="00403DFA" w:rsidRPr="00FE7D2E" w:rsidRDefault="00403DFA" w:rsidP="00FE7D2E">
      <w:pPr>
        <w:pStyle w:val="NormalWeb"/>
        <w:spacing w:before="0" w:beforeAutospacing="0" w:after="0" w:afterAutospacing="0" w:line="276" w:lineRule="auto"/>
        <w:contextualSpacing/>
        <w:rPr>
          <w:bCs/>
        </w:rPr>
      </w:pPr>
      <w:r w:rsidRPr="00FE7D2E">
        <w:rPr>
          <w:bCs/>
        </w:rPr>
        <w:t>Silvia Yee</w:t>
      </w:r>
    </w:p>
    <w:p w14:paraId="1881032B" w14:textId="05C139BB" w:rsidR="005B02C2" w:rsidRPr="00FE7D2E" w:rsidRDefault="00403DFA" w:rsidP="00FE7D2E">
      <w:pPr>
        <w:pStyle w:val="NormalWeb"/>
        <w:spacing w:before="0" w:beforeAutospacing="0" w:after="0" w:afterAutospacing="0" w:line="276" w:lineRule="auto"/>
        <w:contextualSpacing/>
        <w:rPr>
          <w:bCs/>
        </w:rPr>
      </w:pPr>
      <w:r w:rsidRPr="00FE7D2E">
        <w:rPr>
          <w:bCs/>
        </w:rPr>
        <w:t>Senior Staff Attorney</w:t>
      </w:r>
    </w:p>
    <w:p w14:paraId="60D06A49" w14:textId="368A6AEE" w:rsidR="00F3440B" w:rsidRPr="00FE7D2E" w:rsidRDefault="00F3440B" w:rsidP="00FE7D2E">
      <w:pPr>
        <w:pStyle w:val="NormalWeb"/>
        <w:spacing w:before="0" w:beforeAutospacing="0" w:after="0" w:afterAutospacing="0" w:line="276" w:lineRule="auto"/>
        <w:contextualSpacing/>
        <w:rPr>
          <w:bCs/>
        </w:rPr>
      </w:pPr>
    </w:p>
    <w:sectPr w:rsidR="00F3440B" w:rsidRPr="00FE7D2E" w:rsidSect="002679D3">
      <w:headerReference w:type="default" r:id="rId10"/>
      <w:headerReference w:type="first" r:id="rId11"/>
      <w:footerReference w:type="first" r:id="rId12"/>
      <w:endnotePr>
        <w:numFmt w:val="decimal"/>
      </w:endnotePr>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4E68" w14:textId="77777777" w:rsidR="00F0630A" w:rsidRDefault="00F0630A" w:rsidP="001C2413">
      <w:pPr>
        <w:spacing w:line="240" w:lineRule="auto"/>
      </w:pPr>
      <w:r>
        <w:separator/>
      </w:r>
    </w:p>
  </w:endnote>
  <w:endnote w:type="continuationSeparator" w:id="0">
    <w:p w14:paraId="0DD94F53" w14:textId="77777777" w:rsidR="00F0630A" w:rsidRDefault="00F0630A" w:rsidP="001C2413">
      <w:pPr>
        <w:spacing w:line="240" w:lineRule="auto"/>
      </w:pPr>
      <w:r>
        <w:continuationSeparator/>
      </w:r>
    </w:p>
  </w:endnote>
  <w:endnote w:id="1">
    <w:p w14:paraId="744C9B1D" w14:textId="66D8AE7C" w:rsidR="00AA51E3" w:rsidRPr="00AF5C08" w:rsidRDefault="00AA51E3" w:rsidP="00AA51E3">
      <w:pPr>
        <w:autoSpaceDE w:val="0"/>
        <w:autoSpaceDN w:val="0"/>
        <w:adjustRightInd w:val="0"/>
        <w:spacing w:line="240" w:lineRule="auto"/>
        <w:rPr>
          <w:rFonts w:cs="Arial"/>
          <w:sz w:val="24"/>
          <w:szCs w:val="24"/>
        </w:rPr>
      </w:pPr>
      <w:r w:rsidRPr="00AF5C08">
        <w:rPr>
          <w:rStyle w:val="EndnoteReference"/>
          <w:rFonts w:cs="Arial"/>
          <w:sz w:val="24"/>
          <w:szCs w:val="24"/>
        </w:rPr>
        <w:endnoteRef/>
      </w:r>
      <w:r w:rsidRPr="00AF5C08">
        <w:rPr>
          <w:rFonts w:cs="Arial"/>
          <w:sz w:val="24"/>
          <w:szCs w:val="24"/>
        </w:rPr>
        <w:t xml:space="preserve"> </w:t>
      </w:r>
      <w:r w:rsidRPr="00AF5C08">
        <w:rPr>
          <w:rFonts w:eastAsiaTheme="minorHAnsi" w:cs="Arial"/>
          <w:sz w:val="24"/>
          <w:szCs w:val="24"/>
        </w:rPr>
        <w:t>Public Law 110–325</w:t>
      </w:r>
      <w:r w:rsidRPr="00AF5C08">
        <w:rPr>
          <w:rFonts w:eastAsiaTheme="minorHAnsi" w:cs="Arial"/>
          <w:sz w:val="24"/>
          <w:szCs w:val="24"/>
        </w:rPr>
        <w:t xml:space="preserve"> </w:t>
      </w:r>
      <w:r w:rsidRPr="00AF5C08">
        <w:rPr>
          <w:rFonts w:eastAsiaTheme="minorHAnsi" w:cs="Arial"/>
          <w:sz w:val="24"/>
          <w:szCs w:val="24"/>
        </w:rPr>
        <w:t>(2008)</w:t>
      </w:r>
      <w:r w:rsidRPr="00AF5C08">
        <w:rPr>
          <w:rFonts w:eastAsiaTheme="minorHAnsi" w:cs="Arial"/>
          <w:sz w:val="24"/>
          <w:szCs w:val="24"/>
        </w:rPr>
        <w:t>.</w:t>
      </w:r>
    </w:p>
  </w:endnote>
  <w:endnote w:id="2">
    <w:p w14:paraId="63DA02C6" w14:textId="58D28E09" w:rsidR="009D4D06" w:rsidRPr="00AF5C08" w:rsidRDefault="009D4D06">
      <w:pPr>
        <w:pStyle w:val="EndnoteText"/>
        <w:rPr>
          <w:sz w:val="24"/>
          <w:szCs w:val="24"/>
        </w:rPr>
      </w:pPr>
      <w:r w:rsidRPr="00AF5C08">
        <w:rPr>
          <w:rStyle w:val="EndnoteReference"/>
          <w:sz w:val="24"/>
          <w:szCs w:val="24"/>
        </w:rPr>
        <w:endnoteRef/>
      </w:r>
      <w:r w:rsidR="00D80D2A" w:rsidRPr="00AF5C08">
        <w:rPr>
          <w:sz w:val="24"/>
          <w:szCs w:val="24"/>
        </w:rPr>
        <w:t xml:space="preserve"> American Medical Association,</w:t>
      </w:r>
      <w:r w:rsidR="00034F94" w:rsidRPr="00AF5C08">
        <w:rPr>
          <w:sz w:val="24"/>
          <w:szCs w:val="24"/>
        </w:rPr>
        <w:t xml:space="preserve"> Council on Science and Public Health, </w:t>
      </w:r>
      <w:hyperlink r:id="rId1" w:history="1">
        <w:r w:rsidR="00FC631D" w:rsidRPr="00AF5C08">
          <w:rPr>
            <w:rStyle w:val="Hyperlink"/>
            <w:sz w:val="24"/>
            <w:szCs w:val="24"/>
          </w:rPr>
          <w:t>Recognition of Obesity As a Disease H-440.82</w:t>
        </w:r>
      </w:hyperlink>
      <w:r w:rsidR="00FC631D" w:rsidRPr="00AF5C08">
        <w:rPr>
          <w:sz w:val="24"/>
          <w:szCs w:val="24"/>
        </w:rPr>
        <w:t xml:space="preserve"> </w:t>
      </w:r>
      <w:r w:rsidR="00034F94" w:rsidRPr="00AF5C08">
        <w:rPr>
          <w:sz w:val="24"/>
          <w:szCs w:val="24"/>
        </w:rPr>
        <w:t xml:space="preserve">(2023). </w:t>
      </w:r>
      <w:r w:rsidR="009F7563" w:rsidRPr="00AF5C08">
        <w:rPr>
          <w:i/>
          <w:iCs/>
          <w:sz w:val="24"/>
          <w:szCs w:val="24"/>
        </w:rPr>
        <w:t xml:space="preserve">See </w:t>
      </w:r>
      <w:r w:rsidR="009F7563" w:rsidRPr="00AF5C08">
        <w:rPr>
          <w:sz w:val="24"/>
          <w:szCs w:val="24"/>
        </w:rPr>
        <w:t>also</w:t>
      </w:r>
      <w:r w:rsidRPr="00AF5C08">
        <w:rPr>
          <w:rFonts w:cs="Arial"/>
          <w:color w:val="1B1B1B"/>
          <w:sz w:val="24"/>
          <w:szCs w:val="24"/>
        </w:rPr>
        <w:t xml:space="preserve"> The Obesity Society</w:t>
      </w:r>
      <w:r w:rsidR="00B352D9" w:rsidRPr="00AF5C08">
        <w:rPr>
          <w:rFonts w:cs="Arial"/>
          <w:color w:val="1B1B1B"/>
          <w:sz w:val="24"/>
          <w:szCs w:val="24"/>
        </w:rPr>
        <w:t>, “</w:t>
      </w:r>
      <w:hyperlink r:id="rId2" w:history="1">
        <w:r w:rsidR="00B352D9" w:rsidRPr="00AF5C08">
          <w:rPr>
            <w:rStyle w:val="Hyperlink"/>
            <w:rFonts w:cs="Arial"/>
            <w:sz w:val="24"/>
            <w:szCs w:val="24"/>
          </w:rPr>
          <w:t>Obesity as a Disease: the Obesity Society 2018 Position Statement</w:t>
        </w:r>
      </w:hyperlink>
      <w:r w:rsidR="00B352D9" w:rsidRPr="00AF5C08">
        <w:rPr>
          <w:rFonts w:cs="Arial"/>
          <w:color w:val="1B1B1B"/>
          <w:sz w:val="24"/>
          <w:szCs w:val="24"/>
        </w:rPr>
        <w:t>,</w:t>
      </w:r>
      <w:r w:rsidR="000D011F" w:rsidRPr="00AF5C08">
        <w:rPr>
          <w:rFonts w:cs="Arial"/>
          <w:color w:val="1B1B1B"/>
          <w:sz w:val="24"/>
          <w:szCs w:val="24"/>
        </w:rPr>
        <w:t>” (2019)</w:t>
      </w:r>
      <w:r w:rsidR="005342D1" w:rsidRPr="00AF5C08">
        <w:rPr>
          <w:rFonts w:cs="Arial"/>
          <w:color w:val="1B1B1B"/>
          <w:sz w:val="24"/>
          <w:szCs w:val="24"/>
        </w:rPr>
        <w:t xml:space="preserve"> (characterizing obesity as a “non-communicable chronic disease”)</w:t>
      </w:r>
      <w:r w:rsidR="009F7563" w:rsidRPr="00AF5C08">
        <w:rPr>
          <w:rFonts w:cs="Arial"/>
          <w:color w:val="1B1B1B"/>
          <w:sz w:val="24"/>
          <w:szCs w:val="24"/>
        </w:rPr>
        <w:t>.</w:t>
      </w:r>
    </w:p>
  </w:endnote>
  <w:endnote w:id="3">
    <w:p w14:paraId="50A2E4D9" w14:textId="76372EC9" w:rsidR="0002205D" w:rsidRPr="00AF5C08" w:rsidRDefault="0002205D">
      <w:pPr>
        <w:pStyle w:val="EndnoteText"/>
        <w:rPr>
          <w:sz w:val="24"/>
          <w:szCs w:val="24"/>
        </w:rPr>
      </w:pPr>
      <w:r w:rsidRPr="00AF5C08">
        <w:rPr>
          <w:rStyle w:val="EndnoteReference"/>
          <w:sz w:val="24"/>
          <w:szCs w:val="24"/>
        </w:rPr>
        <w:endnoteRef/>
      </w:r>
      <w:r w:rsidRPr="00AF5C08">
        <w:rPr>
          <w:sz w:val="24"/>
          <w:szCs w:val="24"/>
        </w:rPr>
        <w:t xml:space="preserve"> </w:t>
      </w:r>
      <w:r w:rsidRPr="00AF5C08">
        <w:rPr>
          <w:sz w:val="24"/>
          <w:szCs w:val="24"/>
        </w:rPr>
        <w:t>Karyn Schwartz, Eric Lopez, Matthew Rae, and Tricia Neuman</w:t>
      </w:r>
      <w:r w:rsidRPr="00AF5C08">
        <w:rPr>
          <w:sz w:val="24"/>
          <w:szCs w:val="24"/>
        </w:rPr>
        <w:t>, “</w:t>
      </w:r>
      <w:hyperlink r:id="rId3" w:history="1">
        <w:r w:rsidRPr="00AF5C08">
          <w:rPr>
            <w:rStyle w:val="Hyperlink"/>
            <w:sz w:val="24"/>
            <w:szCs w:val="24"/>
          </w:rPr>
          <w:t>What We Know About Provider Consolidation</w:t>
        </w:r>
      </w:hyperlink>
      <w:r w:rsidRPr="00AF5C08">
        <w:rPr>
          <w:sz w:val="24"/>
          <w:szCs w:val="24"/>
        </w:rPr>
        <w:t xml:space="preserve">,” </w:t>
      </w:r>
      <w:r w:rsidR="00073E22" w:rsidRPr="00AF5C08">
        <w:rPr>
          <w:sz w:val="24"/>
          <w:szCs w:val="24"/>
        </w:rPr>
        <w:t>Kaiser Family Foundation, (Sept. 2, 2020).</w:t>
      </w:r>
    </w:p>
  </w:endnote>
  <w:endnote w:id="4">
    <w:p w14:paraId="13BFB365" w14:textId="41CB2947" w:rsidR="00244CB9" w:rsidRPr="00AF5C08" w:rsidRDefault="00244CB9" w:rsidP="00244CB9">
      <w:pPr>
        <w:spacing w:line="240" w:lineRule="auto"/>
        <w:rPr>
          <w:sz w:val="24"/>
          <w:szCs w:val="24"/>
        </w:rPr>
      </w:pPr>
      <w:r w:rsidRPr="00AF5C08">
        <w:rPr>
          <w:rStyle w:val="EndnoteReference"/>
          <w:sz w:val="24"/>
          <w:szCs w:val="24"/>
        </w:rPr>
        <w:endnoteRef/>
      </w:r>
      <w:r w:rsidRPr="00AF5C08">
        <w:rPr>
          <w:sz w:val="24"/>
          <w:szCs w:val="24"/>
        </w:rPr>
        <w:t xml:space="preserve"> </w:t>
      </w:r>
      <w:r w:rsidRPr="00AF5C08">
        <w:rPr>
          <w:rFonts w:cs="Arial"/>
          <w:sz w:val="24"/>
          <w:szCs w:val="24"/>
        </w:rPr>
        <w:t>The National Technology Transfer Advancement Act requires federal agencies to use consensus standards when they meet an agency's needs.  See OMB Circular a</w:t>
      </w:r>
      <w:r w:rsidRPr="00AF5C08">
        <w:rPr>
          <w:rFonts w:cs="Arial"/>
          <w:sz w:val="24"/>
          <w:szCs w:val="24"/>
        </w:rPr>
        <w:t xml:space="preserve">t </w:t>
      </w:r>
      <w:r w:rsidRPr="00AF5C08">
        <w:rPr>
          <w:rFonts w:cs="Arial"/>
          <w:sz w:val="24"/>
          <w:szCs w:val="24"/>
        </w:rPr>
        <w:t>119 (</w:t>
      </w:r>
      <w:hyperlink r:id="rId4" w:tgtFrame="_blank" w:history="1">
        <w:r w:rsidRPr="00AF5C08">
          <w:rPr>
            <w:rStyle w:val="Hyperlink"/>
            <w:rFonts w:cs="Arial"/>
            <w:sz w:val="24"/>
            <w:szCs w:val="24"/>
          </w:rPr>
          <w:t>https://www.whitehouse.gov/wp-content/uploads/2020/07/revised_circular_a-119_as_of_1_22.pdf</w:t>
        </w:r>
      </w:hyperlink>
      <w:r w:rsidRPr="00AF5C08">
        <w:rPr>
          <w:rFonts w:cs="Arial"/>
          <w:sz w:val="24"/>
          <w:szCs w:val="24"/>
        </w:rPr>
        <w:t>) and this summary of the Act with links to the law (</w:t>
      </w:r>
      <w:hyperlink r:id="rId5" w:tgtFrame="_blank" w:history="1">
        <w:r w:rsidRPr="00AF5C08">
          <w:rPr>
            <w:rStyle w:val="Hyperlink"/>
            <w:rFonts w:cs="Arial"/>
            <w:sz w:val="24"/>
            <w:szCs w:val="24"/>
          </w:rPr>
          <w:t>https://www.epa.gov/laws-regulations/summary-national-technology-transfer-and-advancement-act</w:t>
        </w:r>
      </w:hyperlink>
      <w:r w:rsidRPr="00AF5C08">
        <w:rPr>
          <w:rFonts w:cs="Arial"/>
          <w:sz w:val="24"/>
          <w:szCs w:val="24"/>
        </w:rPr>
        <w:t>). </w:t>
      </w:r>
    </w:p>
  </w:endnote>
  <w:endnote w:id="5">
    <w:p w14:paraId="2AFE0947" w14:textId="77777777" w:rsidR="001C05D3" w:rsidRPr="00AF5C08" w:rsidRDefault="001C05D3" w:rsidP="001C05D3">
      <w:pPr>
        <w:pStyle w:val="EndnoteText"/>
        <w:rPr>
          <w:rFonts w:cs="Arial"/>
          <w:sz w:val="24"/>
          <w:szCs w:val="24"/>
        </w:rPr>
      </w:pPr>
      <w:r w:rsidRPr="00AF5C08">
        <w:rPr>
          <w:rStyle w:val="EndnoteReference"/>
          <w:rFonts w:cs="Arial"/>
          <w:sz w:val="24"/>
          <w:szCs w:val="24"/>
        </w:rPr>
        <w:endnoteRef/>
      </w:r>
      <w:r w:rsidRPr="00AF5C08">
        <w:rPr>
          <w:rFonts w:cs="Arial"/>
          <w:sz w:val="24"/>
          <w:szCs w:val="24"/>
        </w:rPr>
        <w:t xml:space="preserve"> See, e.g., Opening Brief of CVS in CVS v. Doe, No. 20-1374 (U.S. Sept. 3, 2021) 10-11 (“The statutory text unambiguously forecloses disparate-impact liability. … Section 504 requires that the discrimination be ‘solely by reason of’ disability. … [T]hat language imposes a sole-causation requirement. That requirement cannot be squared with regulating disparate impacts, which almost always arise from diverse causes. Section 504 also focuses on the “individual” being treated differently, not on a group experiencing disparate effects.”); ECF 415 in Payan v. Los Angeles Cmty. College Dist., No. 2:17-cv-01697 (C.D. Cal. Jan. 3, 2022) (requesting continued stay to provide opportunity to request Supreme Court review of whether private cause of action for disparate impact discrimination exists); Doe v. BlueCross BlueShield of Tenn., Inc., 926 F.3d 235, 242 (6th Cir. 2019) (“Disparate-impact discrimination occurs when an entity acts for a nondiscriminatory reason but nevertheless disproportionately harms a protected group. … But the Rehabilitation Act bars discrimination ‘solely by reason of her or his disability.’ … That language does not encompass actions taken for nondiscriminatory reasons.”); cf. Payan v. L.A. Cmty. Coll. Dist., Nos. 19-56111, 19-56146, 2021 U.S. App. LEXIS 25336, at *9 (9th Cir. Aug. 24, 2021) (Lee, J., dissenting).</w:t>
      </w:r>
    </w:p>
  </w:endnote>
  <w:endnote w:id="6">
    <w:p w14:paraId="3BE67D62" w14:textId="77777777" w:rsidR="004A7018" w:rsidRPr="00AF5C08" w:rsidRDefault="004A7018" w:rsidP="004A7018">
      <w:pPr>
        <w:pStyle w:val="EndnoteText"/>
        <w:rPr>
          <w:rFonts w:cs="Arial"/>
          <w:sz w:val="24"/>
          <w:szCs w:val="24"/>
        </w:rPr>
      </w:pPr>
      <w:r w:rsidRPr="00AF5C08">
        <w:rPr>
          <w:rStyle w:val="EndnoteReference"/>
          <w:rFonts w:cs="Arial"/>
          <w:sz w:val="24"/>
          <w:szCs w:val="24"/>
        </w:rPr>
        <w:endnoteRef/>
      </w:r>
      <w:r w:rsidRPr="00AF5C08">
        <w:rPr>
          <w:rFonts w:cs="Arial"/>
          <w:sz w:val="24"/>
          <w:szCs w:val="24"/>
        </w:rPr>
        <w:t xml:space="preserve"> 87 Fed. Reg. 47844. </w:t>
      </w:r>
    </w:p>
  </w:endnote>
  <w:endnote w:id="7">
    <w:p w14:paraId="1464E2B5" w14:textId="77777777" w:rsidR="004A7018" w:rsidRPr="00AF5C08" w:rsidRDefault="004A7018" w:rsidP="004A7018">
      <w:pPr>
        <w:pStyle w:val="EndnoteText"/>
        <w:rPr>
          <w:rFonts w:cs="Arial"/>
          <w:sz w:val="24"/>
          <w:szCs w:val="24"/>
        </w:rPr>
      </w:pPr>
      <w:r w:rsidRPr="00AF5C08">
        <w:rPr>
          <w:rStyle w:val="EndnoteReference"/>
          <w:rFonts w:cs="Arial"/>
          <w:sz w:val="24"/>
          <w:szCs w:val="24"/>
        </w:rPr>
        <w:endnoteRef/>
      </w:r>
      <w:r w:rsidRPr="00AF5C08">
        <w:rPr>
          <w:rFonts w:cs="Arial"/>
          <w:sz w:val="24"/>
          <w:szCs w:val="24"/>
        </w:rPr>
        <w:t xml:space="preserve"> 87 Fed. Reg. 47830. </w:t>
      </w:r>
    </w:p>
  </w:endnote>
  <w:endnote w:id="8">
    <w:p w14:paraId="7D5A05E1" w14:textId="77777777" w:rsidR="004A7018" w:rsidRPr="00AF5C08" w:rsidRDefault="004A7018" w:rsidP="004A7018">
      <w:pPr>
        <w:pStyle w:val="EndnoteText"/>
        <w:rPr>
          <w:rFonts w:cs="Arial"/>
          <w:sz w:val="24"/>
          <w:szCs w:val="24"/>
        </w:rPr>
      </w:pPr>
      <w:r w:rsidRPr="00AF5C08">
        <w:rPr>
          <w:rStyle w:val="EndnoteReference"/>
          <w:rFonts w:cs="Arial"/>
          <w:sz w:val="24"/>
          <w:szCs w:val="24"/>
        </w:rPr>
        <w:endnoteRef/>
      </w:r>
      <w:r w:rsidRPr="00AF5C08">
        <w:rPr>
          <w:rFonts w:cs="Arial"/>
          <w:sz w:val="24"/>
          <w:szCs w:val="24"/>
        </w:rPr>
        <w:t xml:space="preserve"> 87 Fed. Reg. 47912, proposed definition of “Health program or activity.”</w:t>
      </w:r>
    </w:p>
  </w:endnote>
  <w:endnote w:id="9">
    <w:p w14:paraId="01A07790" w14:textId="77777777" w:rsidR="004A7018" w:rsidRPr="00AF5C08" w:rsidRDefault="004A7018" w:rsidP="004A7018">
      <w:pPr>
        <w:pStyle w:val="EndnoteText"/>
        <w:rPr>
          <w:rFonts w:cs="Arial"/>
          <w:sz w:val="24"/>
          <w:szCs w:val="24"/>
        </w:rPr>
      </w:pPr>
      <w:r w:rsidRPr="00AF5C08">
        <w:rPr>
          <w:rStyle w:val="EndnoteReference"/>
          <w:rFonts w:cs="Arial"/>
          <w:sz w:val="24"/>
          <w:szCs w:val="24"/>
        </w:rPr>
        <w:endnoteRef/>
      </w:r>
      <w:r w:rsidRPr="00AF5C08">
        <w:rPr>
          <w:rFonts w:cs="Arial"/>
          <w:sz w:val="24"/>
          <w:szCs w:val="24"/>
        </w:rPr>
        <w:t xml:space="preserve"> 88 Fed. Reg. 63483.</w:t>
      </w:r>
    </w:p>
  </w:endnote>
  <w:endnote w:id="10">
    <w:p w14:paraId="0417754E" w14:textId="77777777" w:rsidR="004A7018" w:rsidRPr="00AF5C08" w:rsidRDefault="004A7018" w:rsidP="004A7018">
      <w:pPr>
        <w:pStyle w:val="EndnoteText"/>
        <w:rPr>
          <w:rFonts w:cs="Arial"/>
          <w:sz w:val="24"/>
          <w:szCs w:val="24"/>
        </w:rPr>
      </w:pPr>
      <w:r w:rsidRPr="00AF5C08">
        <w:rPr>
          <w:rStyle w:val="EndnoteReference"/>
          <w:rFonts w:cs="Arial"/>
          <w:sz w:val="24"/>
          <w:szCs w:val="24"/>
        </w:rPr>
        <w:endnoteRef/>
      </w:r>
      <w:r w:rsidRPr="00AF5C08">
        <w:rPr>
          <w:rFonts w:cs="Arial"/>
          <w:sz w:val="24"/>
          <w:szCs w:val="24"/>
        </w:rPr>
        <w:t xml:space="preserve"> Maia Szalavitz, </w:t>
      </w:r>
      <w:hyperlink r:id="rId6" w:history="1">
        <w:r w:rsidRPr="00AF5C08">
          <w:rPr>
            <w:rStyle w:val="Hyperlink"/>
            <w:rFonts w:cs="Arial"/>
            <w:i/>
            <w:iCs/>
            <w:sz w:val="24"/>
            <w:szCs w:val="24"/>
          </w:rPr>
          <w:t>The Pain Was Unbearable, So Why Did Doctors Turn Her Away?,</w:t>
        </w:r>
      </w:hyperlink>
      <w:r w:rsidRPr="00AF5C08">
        <w:rPr>
          <w:rFonts w:cs="Arial"/>
          <w:i/>
          <w:iCs/>
          <w:sz w:val="24"/>
          <w:szCs w:val="24"/>
        </w:rPr>
        <w:t xml:space="preserve"> </w:t>
      </w:r>
      <w:r w:rsidRPr="00AF5C08">
        <w:rPr>
          <w:rFonts w:cs="Arial"/>
          <w:sz w:val="24"/>
          <w:szCs w:val="24"/>
        </w:rPr>
        <w:t xml:space="preserve">WIRED (Aug. 11, 2021). </w:t>
      </w:r>
    </w:p>
  </w:endnote>
  <w:endnote w:id="11">
    <w:p w14:paraId="12FBE856" w14:textId="77777777" w:rsidR="004A7018" w:rsidRPr="00AF5C08" w:rsidRDefault="004A7018" w:rsidP="004A7018">
      <w:pPr>
        <w:pStyle w:val="EndnoteText"/>
        <w:rPr>
          <w:rFonts w:cs="Arial"/>
          <w:sz w:val="24"/>
          <w:szCs w:val="24"/>
        </w:rPr>
      </w:pPr>
      <w:r w:rsidRPr="00AF5C08">
        <w:rPr>
          <w:rStyle w:val="EndnoteReference"/>
          <w:rFonts w:cs="Arial"/>
          <w:sz w:val="24"/>
          <w:szCs w:val="24"/>
        </w:rPr>
        <w:endnoteRef/>
      </w:r>
      <w:r w:rsidRPr="00AF5C08">
        <w:rPr>
          <w:rFonts w:cs="Arial"/>
          <w:sz w:val="24"/>
          <w:szCs w:val="24"/>
        </w:rPr>
        <w:t xml:space="preserve"> 87 Fed. Reg. 47918, see § 92.210 for example. We note, however, that we would welcome an approach in the final Section 1557 rule that prohibits disability bias more generally across automated decision-making tools and systems.</w:t>
      </w:r>
    </w:p>
  </w:endnote>
  <w:endnote w:id="12">
    <w:p w14:paraId="650CF6A7" w14:textId="77777777" w:rsidR="004A7018" w:rsidRPr="00AF5C08" w:rsidRDefault="004A7018" w:rsidP="004A7018">
      <w:pPr>
        <w:pStyle w:val="EndnoteText"/>
        <w:rPr>
          <w:rFonts w:cs="Arial"/>
          <w:sz w:val="24"/>
          <w:szCs w:val="24"/>
        </w:rPr>
      </w:pPr>
      <w:r w:rsidRPr="00AF5C08">
        <w:rPr>
          <w:rStyle w:val="EndnoteReference"/>
          <w:rFonts w:cs="Arial"/>
          <w:sz w:val="24"/>
          <w:szCs w:val="24"/>
        </w:rPr>
        <w:endnoteRef/>
      </w:r>
      <w:r w:rsidRPr="00AF5C08">
        <w:rPr>
          <w:rFonts w:cs="Arial"/>
          <w:sz w:val="24"/>
          <w:szCs w:val="24"/>
        </w:rPr>
        <w:t xml:space="preserve"> 88 Fed. Reg. 63483.</w:t>
      </w:r>
    </w:p>
  </w:endnote>
  <w:endnote w:id="13">
    <w:p w14:paraId="15669386" w14:textId="71D1072B" w:rsidR="00573EC5" w:rsidRDefault="00573EC5">
      <w:pPr>
        <w:pStyle w:val="EndnoteText"/>
      </w:pPr>
      <w:r>
        <w:rPr>
          <w:rStyle w:val="EndnoteReference"/>
        </w:rPr>
        <w:endnoteRef/>
      </w:r>
      <w:r>
        <w:t xml:space="preserve"> </w:t>
      </w:r>
      <w:r>
        <w:rPr>
          <w:rFonts w:cs="Arial"/>
          <w:sz w:val="24"/>
          <w:szCs w:val="24"/>
        </w:rPr>
        <w:t xml:space="preserve">S. Yee &amp; M.L. Breslin, </w:t>
      </w:r>
      <w:r w:rsidRPr="004931B2">
        <w:rPr>
          <w:rFonts w:cs="Arial"/>
          <w:i/>
          <w:iCs/>
          <w:sz w:val="24"/>
          <w:szCs w:val="24"/>
        </w:rPr>
        <w:t>Risks and Rewards of Demographic Data Collection: How Effective Data</w:t>
      </w:r>
      <w:r>
        <w:rPr>
          <w:rFonts w:cs="Arial"/>
          <w:i/>
          <w:iCs/>
          <w:sz w:val="24"/>
          <w:szCs w:val="24"/>
        </w:rPr>
        <w:t xml:space="preserve"> </w:t>
      </w:r>
      <w:r w:rsidRPr="004931B2">
        <w:rPr>
          <w:rFonts w:cs="Arial"/>
          <w:i/>
          <w:iCs/>
          <w:sz w:val="24"/>
          <w:szCs w:val="24"/>
        </w:rPr>
        <w:t>Privacy Can Promote Health Equity</w:t>
      </w:r>
      <w:r>
        <w:rPr>
          <w:rFonts w:cs="Arial"/>
          <w:sz w:val="24"/>
          <w:szCs w:val="24"/>
        </w:rPr>
        <w:t xml:space="preserve">, March 2023, </w:t>
      </w:r>
      <w:hyperlink r:id="rId7" w:history="1">
        <w:r w:rsidRPr="000D3D4C">
          <w:rPr>
            <w:rStyle w:val="Hyperlink"/>
            <w:rFonts w:cs="Arial"/>
            <w:sz w:val="24"/>
            <w:szCs w:val="24"/>
          </w:rPr>
          <w:t>https://healthlaw.org/wp-content/uploads/2023/03/This-Data-Not-That-Data_Disability-Rights-Education-and-Defense-Fund_FINAL.pdf</w:t>
        </w:r>
      </w:hyperlink>
      <w:r>
        <w:rPr>
          <w:rFonts w:cs="Arial"/>
          <w:sz w:val="24"/>
          <w:szCs w:val="24"/>
        </w:rPr>
        <w:t xml:space="preserve">. </w:t>
      </w:r>
    </w:p>
  </w:endnote>
  <w:endnote w:id="14">
    <w:p w14:paraId="3F4B6D11" w14:textId="6912D9B2" w:rsidR="00573EC5" w:rsidRPr="00FA7891" w:rsidRDefault="00573EC5">
      <w:pPr>
        <w:pStyle w:val="EndnoteText"/>
        <w:rPr>
          <w:sz w:val="24"/>
          <w:szCs w:val="24"/>
        </w:rPr>
      </w:pPr>
      <w:r w:rsidRPr="00FA7891">
        <w:rPr>
          <w:rStyle w:val="EndnoteReference"/>
          <w:sz w:val="24"/>
          <w:szCs w:val="24"/>
        </w:rPr>
        <w:endnoteRef/>
      </w:r>
      <w:r w:rsidRPr="00FA7891">
        <w:rPr>
          <w:sz w:val="24"/>
          <w:szCs w:val="24"/>
        </w:rPr>
        <w:t xml:space="preserve"> M.L. Breslin and S. Yee, Demographic Disability Data Brief</w:t>
      </w:r>
      <w:r w:rsidR="00FA7891" w:rsidRPr="00FA7891">
        <w:rPr>
          <w:sz w:val="24"/>
          <w:szCs w:val="24"/>
        </w:rPr>
        <w:t>, forthcoming.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Calibri"/>
    <w:charset w:val="00"/>
    <w:family w:val="swiss"/>
    <w:pitch w:val="variable"/>
    <w:sig w:usb0="20000287" w:usb1="00000001" w:usb2="00000000" w:usb3="00000000" w:csb0="0000019F" w:csb1="00000000"/>
  </w:font>
  <w:font w:name="MyriadPro-BoldCond">
    <w:altName w:val="Calibri"/>
    <w:panose1 w:val="00000000000000000000"/>
    <w:charset w:val="00"/>
    <w:family w:val="swiss"/>
    <w:notTrueType/>
    <w:pitch w:val="variable"/>
    <w:sig w:usb0="2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893B" w14:textId="77777777" w:rsidR="000626A6" w:rsidRPr="006663F1" w:rsidRDefault="000626A6" w:rsidP="00CB338E">
    <w:pPr>
      <w:widowControl w:val="0"/>
      <w:pBdr>
        <w:bottom w:val="single" w:sz="6" w:space="1" w:color="auto"/>
      </w:pBdr>
      <w:tabs>
        <w:tab w:val="left" w:pos="10080"/>
      </w:tabs>
      <w:autoSpaceDE w:val="0"/>
      <w:autoSpaceDN w:val="0"/>
      <w:adjustRightInd w:val="0"/>
      <w:spacing w:line="288" w:lineRule="auto"/>
      <w:ind w:right="-90"/>
      <w:rPr>
        <w:rFonts w:ascii="Myriad Pro Cond" w:hAnsi="Myriad Pro Cond" w:cs="Myriad Pro Cond"/>
        <w:bCs/>
        <w:color w:val="FFFFFF"/>
        <w:spacing w:val="6"/>
        <w:sz w:val="4"/>
        <w:szCs w:val="26"/>
      </w:rPr>
    </w:pPr>
  </w:p>
  <w:p w14:paraId="5D2F6D94" w14:textId="77777777" w:rsidR="000626A6" w:rsidRPr="006663F1" w:rsidRDefault="000626A6" w:rsidP="00CB338E">
    <w:pPr>
      <w:widowControl w:val="0"/>
      <w:tabs>
        <w:tab w:val="left" w:pos="9990"/>
      </w:tabs>
      <w:autoSpaceDE w:val="0"/>
      <w:autoSpaceDN w:val="0"/>
      <w:adjustRightInd w:val="0"/>
      <w:spacing w:line="288" w:lineRule="auto"/>
      <w:ind w:right="-90"/>
      <w:rPr>
        <w:rFonts w:ascii="Myriad Pro Cond" w:hAnsi="Myriad Pro Cond" w:cs="Myriad Pro Cond"/>
        <w:bCs/>
        <w:color w:val="FFFFFF"/>
        <w:spacing w:val="6"/>
        <w:sz w:val="6"/>
        <w:szCs w:val="26"/>
      </w:rPr>
    </w:pPr>
  </w:p>
  <w:p w14:paraId="7F8BBC1A" w14:textId="77777777" w:rsidR="000626A6" w:rsidRPr="006663F1" w:rsidRDefault="000626A6" w:rsidP="00CB338E">
    <w:pPr>
      <w:widowControl w:val="0"/>
      <w:tabs>
        <w:tab w:val="right" w:pos="10080"/>
      </w:tabs>
      <w:autoSpaceDE w:val="0"/>
      <w:autoSpaceDN w:val="0"/>
      <w:adjustRightInd w:val="0"/>
      <w:spacing w:line="312" w:lineRule="auto"/>
      <w:ind w:left="-720" w:firstLine="450"/>
      <w:jc w:val="center"/>
      <w:rPr>
        <w:rFonts w:ascii="Myriad Pro Cond" w:hAnsi="Myriad Pro Cond" w:cs="MyriadPro-BoldCond"/>
        <w:spacing w:val="6"/>
        <w:sz w:val="25"/>
        <w:szCs w:val="25"/>
      </w:rPr>
    </w:pPr>
    <w:r w:rsidRPr="006663F1">
      <w:rPr>
        <w:rFonts w:ascii="Myriad Pro Cond" w:hAnsi="Myriad Pro Cond" w:cs="MyriadPro-BoldCond"/>
        <w:iCs/>
        <w:color w:val="CB0724"/>
        <w:spacing w:val="4"/>
        <w:sz w:val="25"/>
        <w:szCs w:val="25"/>
      </w:rPr>
      <w:t>Main Office:</w:t>
    </w:r>
    <w:r w:rsidRPr="006663F1">
      <w:rPr>
        <w:rFonts w:ascii="Myriad Pro Cond" w:hAnsi="Myriad Pro Cond" w:cs="MyriadPro-BoldCond"/>
        <w:spacing w:val="6"/>
        <w:sz w:val="25"/>
        <w:szCs w:val="25"/>
      </w:rPr>
      <w:t xml:space="preserve"> 3075 Adeline Street, Suite 210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Berkeley, CA 94703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510.644.2555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fax 510.841.8645 </w:t>
    </w:r>
    <w:r w:rsidRPr="006663F1">
      <w:rPr>
        <w:rFonts w:ascii="Myriad Pro Cond" w:hAnsi="Myriad Pro Cond" w:cs="MyriadPro-BoldCond"/>
        <w:color w:val="CB0724"/>
        <w:spacing w:val="6"/>
        <w:sz w:val="25"/>
        <w:szCs w:val="25"/>
      </w:rPr>
      <w:t xml:space="preserve">• </w:t>
    </w:r>
    <w:r w:rsidRPr="006663F1">
      <w:rPr>
        <w:rFonts w:ascii="Myriad Pro Cond" w:hAnsi="Myriad Pro Cond" w:cs="MyriadPro-BoldCond"/>
        <w:color w:val="000000" w:themeColor="text1"/>
        <w:spacing w:val="6"/>
        <w:sz w:val="25"/>
        <w:szCs w:val="25"/>
      </w:rPr>
      <w:t>www.dredf.org</w:t>
    </w:r>
  </w:p>
  <w:p w14:paraId="14F32794" w14:textId="4DD1BED5" w:rsidR="000626A6" w:rsidRPr="00CB338E" w:rsidRDefault="000626A6" w:rsidP="00CB338E">
    <w:pPr>
      <w:widowControl w:val="0"/>
      <w:tabs>
        <w:tab w:val="left" w:pos="10080"/>
      </w:tabs>
      <w:autoSpaceDE w:val="0"/>
      <w:autoSpaceDN w:val="0"/>
      <w:adjustRightInd w:val="0"/>
      <w:spacing w:line="312" w:lineRule="auto"/>
      <w:ind w:left="-720" w:right="-720"/>
      <w:jc w:val="center"/>
      <w:rPr>
        <w:rFonts w:ascii="Myriad Pro Cond" w:hAnsi="Myriad Pro Cond" w:cs="MyriadPro-BoldCond"/>
        <w:spacing w:val="6"/>
        <w:sz w:val="25"/>
        <w:szCs w:val="25"/>
      </w:rPr>
    </w:pPr>
    <w:r w:rsidRPr="006663F1">
      <w:rPr>
        <w:rFonts w:ascii="Myriad Pro Cond" w:hAnsi="Myriad Pro Cond" w:cs="MyriadPro-BoldCond"/>
        <w:iCs/>
        <w:color w:val="CB0724"/>
        <w:spacing w:val="4"/>
        <w:sz w:val="25"/>
        <w:szCs w:val="25"/>
      </w:rPr>
      <w:t xml:space="preserve">Government Affairs:  </w:t>
    </w:r>
    <w:r w:rsidRPr="006663F1">
      <w:rPr>
        <w:rFonts w:ascii="Myriad Pro Cond" w:hAnsi="Myriad Pro Cond" w:cs="MyriadPro-BoldCond"/>
        <w:iCs/>
        <w:color w:val="000000" w:themeColor="text1"/>
        <w:spacing w:val="4"/>
        <w:sz w:val="25"/>
        <w:szCs w:val="25"/>
      </w:rPr>
      <w:t xml:space="preserve">Washington D.C.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800.348.4232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C4B4" w14:textId="77777777" w:rsidR="00F0630A" w:rsidRDefault="00F0630A" w:rsidP="001C2413">
      <w:pPr>
        <w:spacing w:line="240" w:lineRule="auto"/>
      </w:pPr>
      <w:r>
        <w:separator/>
      </w:r>
    </w:p>
  </w:footnote>
  <w:footnote w:type="continuationSeparator" w:id="0">
    <w:p w14:paraId="75F6E445" w14:textId="77777777" w:rsidR="00F0630A" w:rsidRDefault="00F0630A" w:rsidP="001C24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6B77" w14:textId="3F71AADA" w:rsidR="000626A6" w:rsidRPr="001E4CA6" w:rsidRDefault="000626A6" w:rsidP="001E4CA6">
    <w:pPr>
      <w:pStyle w:val="Header"/>
      <w:spacing w:line="276" w:lineRule="auto"/>
      <w:rPr>
        <w:sz w:val="24"/>
        <w:szCs w:val="24"/>
      </w:rPr>
    </w:pPr>
    <w:r w:rsidRPr="001E4CA6">
      <w:rPr>
        <w:sz w:val="24"/>
        <w:szCs w:val="24"/>
      </w:rPr>
      <w:t>DREDF Comment</w:t>
    </w:r>
    <w:r w:rsidR="0014365C">
      <w:rPr>
        <w:sz w:val="24"/>
        <w:szCs w:val="24"/>
      </w:rPr>
      <w:t xml:space="preserve">: Section 504 NPRM, </w:t>
    </w:r>
    <w:r w:rsidR="0014365C" w:rsidRPr="0014365C">
      <w:rPr>
        <w:sz w:val="24"/>
        <w:szCs w:val="24"/>
      </w:rPr>
      <w:t>Docket No: 2023-19149, RIN: 0945-AA15</w:t>
    </w:r>
  </w:p>
  <w:p w14:paraId="2D5896FD" w14:textId="2401C50F" w:rsidR="000626A6" w:rsidRPr="001E4CA6" w:rsidRDefault="0014365C" w:rsidP="001E4CA6">
    <w:pPr>
      <w:pStyle w:val="Header"/>
      <w:spacing w:line="276" w:lineRule="auto"/>
      <w:rPr>
        <w:sz w:val="24"/>
        <w:szCs w:val="24"/>
      </w:rPr>
    </w:pPr>
    <w:r>
      <w:rPr>
        <w:sz w:val="24"/>
        <w:szCs w:val="24"/>
      </w:rPr>
      <w:t>November 13</w:t>
    </w:r>
    <w:r w:rsidR="000626A6">
      <w:rPr>
        <w:sz w:val="24"/>
        <w:szCs w:val="24"/>
      </w:rPr>
      <w:t>, 202</w:t>
    </w:r>
    <w:r>
      <w:rPr>
        <w:sz w:val="24"/>
        <w:szCs w:val="24"/>
      </w:rPr>
      <w:t>3</w:t>
    </w:r>
    <w:r w:rsidR="000626A6" w:rsidRPr="001E4CA6">
      <w:rPr>
        <w:sz w:val="24"/>
        <w:szCs w:val="24"/>
      </w:rPr>
      <w:tab/>
    </w:r>
  </w:p>
  <w:p w14:paraId="3AA52AD2" w14:textId="77777777" w:rsidR="000626A6" w:rsidRPr="001E4CA6" w:rsidRDefault="000626A6" w:rsidP="001E4CA6">
    <w:pPr>
      <w:pStyle w:val="Header"/>
      <w:spacing w:line="276" w:lineRule="auto"/>
      <w:rPr>
        <w:sz w:val="24"/>
        <w:szCs w:val="24"/>
      </w:rPr>
    </w:pPr>
    <w:r w:rsidRPr="001E4CA6">
      <w:rPr>
        <w:sz w:val="24"/>
        <w:szCs w:val="24"/>
      </w:rPr>
      <w:t xml:space="preserve">Page </w:t>
    </w:r>
    <w:r w:rsidRPr="001E4CA6">
      <w:rPr>
        <w:sz w:val="24"/>
        <w:szCs w:val="24"/>
      </w:rPr>
      <w:fldChar w:fldCharType="begin"/>
    </w:r>
    <w:r w:rsidRPr="001E4CA6">
      <w:rPr>
        <w:sz w:val="24"/>
        <w:szCs w:val="24"/>
      </w:rPr>
      <w:instrText xml:space="preserve"> PAGE   \* MERGEFORMAT </w:instrText>
    </w:r>
    <w:r w:rsidRPr="001E4CA6">
      <w:rPr>
        <w:sz w:val="24"/>
        <w:szCs w:val="24"/>
      </w:rPr>
      <w:fldChar w:fldCharType="separate"/>
    </w:r>
    <w:r w:rsidRPr="001E4CA6">
      <w:rPr>
        <w:sz w:val="24"/>
        <w:szCs w:val="24"/>
      </w:rPr>
      <w:t>2</w:t>
    </w:r>
    <w:r w:rsidRPr="001E4CA6">
      <w:rPr>
        <w:sz w:val="24"/>
        <w:szCs w:val="24"/>
      </w:rPr>
      <w:fldChar w:fldCharType="end"/>
    </w:r>
    <w:r w:rsidRPr="001E4CA6">
      <w:rPr>
        <w:sz w:val="24"/>
        <w:szCs w:val="24"/>
      </w:rPr>
      <w:t xml:space="preserve"> of </w:t>
    </w:r>
    <w:r w:rsidRPr="001E4CA6">
      <w:rPr>
        <w:sz w:val="24"/>
        <w:szCs w:val="24"/>
      </w:rPr>
      <w:fldChar w:fldCharType="begin"/>
    </w:r>
    <w:r w:rsidRPr="001E4CA6">
      <w:rPr>
        <w:sz w:val="24"/>
        <w:szCs w:val="24"/>
      </w:rPr>
      <w:instrText xml:space="preserve"> NUMPAGES   \* MERGEFORMAT </w:instrText>
    </w:r>
    <w:r w:rsidRPr="001E4CA6">
      <w:rPr>
        <w:sz w:val="24"/>
        <w:szCs w:val="24"/>
      </w:rPr>
      <w:fldChar w:fldCharType="separate"/>
    </w:r>
    <w:r w:rsidRPr="001E4CA6">
      <w:rPr>
        <w:sz w:val="24"/>
        <w:szCs w:val="24"/>
      </w:rPr>
      <w:t>42</w:t>
    </w:r>
    <w:r w:rsidRPr="001E4CA6">
      <w:rPr>
        <w:sz w:val="24"/>
        <w:szCs w:val="24"/>
      </w:rPr>
      <w:fldChar w:fldCharType="end"/>
    </w:r>
  </w:p>
  <w:p w14:paraId="7B2F593E" w14:textId="77777777" w:rsidR="000626A6" w:rsidRPr="001E4CA6" w:rsidRDefault="000626A6" w:rsidP="001E4CA6">
    <w:pPr>
      <w:pStyle w:val="Header"/>
      <w:spacing w:line="276" w:lineRule="aut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3F98" w14:textId="77777777" w:rsidR="000626A6" w:rsidRPr="00AB2D7E" w:rsidRDefault="000626A6" w:rsidP="00920C96">
    <w:pPr>
      <w:pStyle w:val="Header"/>
      <w:tabs>
        <w:tab w:val="left" w:pos="7920"/>
      </w:tabs>
      <w:ind w:right="-720"/>
      <w:rPr>
        <w:rFonts w:ascii="Myriad Pro Cond" w:hAnsi="Myriad Pro Cond"/>
        <w:color w:val="CB0724"/>
      </w:rPr>
    </w:pPr>
    <w:r w:rsidRPr="00E7749C">
      <w:rPr>
        <w:rFonts w:ascii="Myriad Pro Cond" w:hAnsi="Myriad Pro Cond" w:cs="Myriad Pro Cond"/>
        <w:position w:val="36"/>
        <w:sz w:val="54"/>
        <w:szCs w:val="54"/>
        <w:vertAlign w:val="superscript"/>
      </w:rPr>
      <w:t>Disability Rights Education &amp; Defense Fund</w:t>
    </w:r>
    <w:r w:rsidRPr="00E7749C">
      <w:rPr>
        <w:rFonts w:ascii="Myriad Pro Cond" w:hAnsi="Myriad Pro Cond" w:cs="Myriad Pro Cond"/>
        <w:position w:val="36"/>
        <w:sz w:val="54"/>
        <w:szCs w:val="54"/>
        <w:vertAlign w:val="superscript"/>
      </w:rPr>
      <w:tab/>
    </w:r>
    <w:r w:rsidRPr="00E7749C">
      <w:rPr>
        <w:rFonts w:ascii="Myriad Pro Cond" w:hAnsi="Myriad Pro Cond"/>
        <w:noProof/>
        <w:color w:val="CB0724"/>
      </w:rPr>
      <w:drawing>
        <wp:inline distT="0" distB="0" distL="0" distR="0" wp14:anchorId="273F934C" wp14:editId="4D028E32">
          <wp:extent cx="1289304" cy="594360"/>
          <wp:effectExtent l="0" t="0" r="6350" b="0"/>
          <wp:docPr id="4" name="Picture 4" descr="Logo of DR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df-logo.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94360"/>
                  </a:xfrm>
                  <a:prstGeom prst="rect">
                    <a:avLst/>
                  </a:prstGeom>
                </pic:spPr>
              </pic:pic>
            </a:graphicData>
          </a:graphic>
        </wp:inline>
      </w:drawing>
    </w:r>
  </w:p>
  <w:p w14:paraId="68D6574B" w14:textId="486C053E" w:rsidR="000626A6" w:rsidRDefault="000626A6">
    <w:pPr>
      <w:pStyle w:val="Header"/>
      <w:rPr>
        <w:sz w:val="28"/>
        <w:szCs w:val="28"/>
      </w:rPr>
    </w:pPr>
  </w:p>
  <w:p w14:paraId="7311ECBE" w14:textId="77777777" w:rsidR="004D1EC8" w:rsidRPr="00326988" w:rsidRDefault="004D1EC8">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75E"/>
    <w:multiLevelType w:val="hybridMultilevel"/>
    <w:tmpl w:val="53A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D6224"/>
    <w:multiLevelType w:val="hybridMultilevel"/>
    <w:tmpl w:val="E8361B98"/>
    <w:lvl w:ilvl="0" w:tplc="1888973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0C68"/>
    <w:multiLevelType w:val="hybridMultilevel"/>
    <w:tmpl w:val="CFC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51ABF"/>
    <w:multiLevelType w:val="hybridMultilevel"/>
    <w:tmpl w:val="7D48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E7D1E"/>
    <w:multiLevelType w:val="hybridMultilevel"/>
    <w:tmpl w:val="7DFC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C0131"/>
    <w:multiLevelType w:val="hybridMultilevel"/>
    <w:tmpl w:val="A9EA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957E1"/>
    <w:multiLevelType w:val="hybridMultilevel"/>
    <w:tmpl w:val="05805B8A"/>
    <w:lvl w:ilvl="0" w:tplc="14BE308E">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8538E8"/>
    <w:multiLevelType w:val="hybridMultilevel"/>
    <w:tmpl w:val="AD5652F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5BFF18C5"/>
    <w:multiLevelType w:val="multilevel"/>
    <w:tmpl w:val="CF7C6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D43258"/>
    <w:multiLevelType w:val="multilevel"/>
    <w:tmpl w:val="0FE2A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E47E0B"/>
    <w:multiLevelType w:val="hybridMultilevel"/>
    <w:tmpl w:val="A8BEEF50"/>
    <w:lvl w:ilvl="0" w:tplc="FA56492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144968">
    <w:abstractNumId w:val="6"/>
  </w:num>
  <w:num w:numId="2" w16cid:durableId="191042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209183">
    <w:abstractNumId w:val="10"/>
  </w:num>
  <w:num w:numId="4" w16cid:durableId="2108114779">
    <w:abstractNumId w:val="3"/>
  </w:num>
  <w:num w:numId="5" w16cid:durableId="1870996362">
    <w:abstractNumId w:val="1"/>
  </w:num>
  <w:num w:numId="6" w16cid:durableId="292446961">
    <w:abstractNumId w:val="2"/>
  </w:num>
  <w:num w:numId="7" w16cid:durableId="1769544506">
    <w:abstractNumId w:val="8"/>
  </w:num>
  <w:num w:numId="8" w16cid:durableId="1944603516">
    <w:abstractNumId w:val="5"/>
  </w:num>
  <w:num w:numId="9" w16cid:durableId="1838227667">
    <w:abstractNumId w:val="0"/>
  </w:num>
  <w:num w:numId="10" w16cid:durableId="92017682">
    <w:abstractNumId w:val="4"/>
  </w:num>
  <w:num w:numId="11" w16cid:durableId="1321078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FD"/>
    <w:rsid w:val="00010963"/>
    <w:rsid w:val="000172A2"/>
    <w:rsid w:val="000177FE"/>
    <w:rsid w:val="0002205D"/>
    <w:rsid w:val="00022ED3"/>
    <w:rsid w:val="00024B86"/>
    <w:rsid w:val="0003210C"/>
    <w:rsid w:val="00033429"/>
    <w:rsid w:val="00034F94"/>
    <w:rsid w:val="0003563F"/>
    <w:rsid w:val="000357DB"/>
    <w:rsid w:val="00035A8B"/>
    <w:rsid w:val="00040FC3"/>
    <w:rsid w:val="00043F8F"/>
    <w:rsid w:val="0004764E"/>
    <w:rsid w:val="00047DEF"/>
    <w:rsid w:val="00047E9E"/>
    <w:rsid w:val="00050278"/>
    <w:rsid w:val="0005175C"/>
    <w:rsid w:val="00053ED4"/>
    <w:rsid w:val="000626A6"/>
    <w:rsid w:val="00065A7F"/>
    <w:rsid w:val="00067BC7"/>
    <w:rsid w:val="0007109A"/>
    <w:rsid w:val="00072ED9"/>
    <w:rsid w:val="0007323A"/>
    <w:rsid w:val="00073E22"/>
    <w:rsid w:val="00074964"/>
    <w:rsid w:val="00080E68"/>
    <w:rsid w:val="00083452"/>
    <w:rsid w:val="00083B31"/>
    <w:rsid w:val="0008632F"/>
    <w:rsid w:val="00093790"/>
    <w:rsid w:val="000A4005"/>
    <w:rsid w:val="000A57A6"/>
    <w:rsid w:val="000A5AC8"/>
    <w:rsid w:val="000A67DA"/>
    <w:rsid w:val="000A6BF0"/>
    <w:rsid w:val="000A79DA"/>
    <w:rsid w:val="000B6A90"/>
    <w:rsid w:val="000C474B"/>
    <w:rsid w:val="000C56B5"/>
    <w:rsid w:val="000D011F"/>
    <w:rsid w:val="000D72FF"/>
    <w:rsid w:val="000E241E"/>
    <w:rsid w:val="000E2E2A"/>
    <w:rsid w:val="000E733C"/>
    <w:rsid w:val="000F2032"/>
    <w:rsid w:val="000F3333"/>
    <w:rsid w:val="000F6A9D"/>
    <w:rsid w:val="00104E27"/>
    <w:rsid w:val="0010526E"/>
    <w:rsid w:val="00106923"/>
    <w:rsid w:val="001078A6"/>
    <w:rsid w:val="001078DB"/>
    <w:rsid w:val="0011498A"/>
    <w:rsid w:val="0011537D"/>
    <w:rsid w:val="0012572A"/>
    <w:rsid w:val="00125785"/>
    <w:rsid w:val="00131703"/>
    <w:rsid w:val="00134AF2"/>
    <w:rsid w:val="00135396"/>
    <w:rsid w:val="00135602"/>
    <w:rsid w:val="001378E4"/>
    <w:rsid w:val="00137FD5"/>
    <w:rsid w:val="00141A5F"/>
    <w:rsid w:val="00142E84"/>
    <w:rsid w:val="0014365C"/>
    <w:rsid w:val="001455A6"/>
    <w:rsid w:val="00151999"/>
    <w:rsid w:val="00160822"/>
    <w:rsid w:val="0016165D"/>
    <w:rsid w:val="00164739"/>
    <w:rsid w:val="00164ED5"/>
    <w:rsid w:val="001679C1"/>
    <w:rsid w:val="001725C9"/>
    <w:rsid w:val="001755AB"/>
    <w:rsid w:val="0017617E"/>
    <w:rsid w:val="00181606"/>
    <w:rsid w:val="00182778"/>
    <w:rsid w:val="0018514D"/>
    <w:rsid w:val="00190EF6"/>
    <w:rsid w:val="00191CFE"/>
    <w:rsid w:val="00195BED"/>
    <w:rsid w:val="001963E5"/>
    <w:rsid w:val="001A2A6A"/>
    <w:rsid w:val="001A3234"/>
    <w:rsid w:val="001A6406"/>
    <w:rsid w:val="001B00DD"/>
    <w:rsid w:val="001B1419"/>
    <w:rsid w:val="001B32DC"/>
    <w:rsid w:val="001B47BD"/>
    <w:rsid w:val="001B4C95"/>
    <w:rsid w:val="001B5D82"/>
    <w:rsid w:val="001C05D3"/>
    <w:rsid w:val="001C2413"/>
    <w:rsid w:val="001C5BA6"/>
    <w:rsid w:val="001C6D5B"/>
    <w:rsid w:val="001D0568"/>
    <w:rsid w:val="001D3404"/>
    <w:rsid w:val="001D57B7"/>
    <w:rsid w:val="001D69B2"/>
    <w:rsid w:val="001E45F9"/>
    <w:rsid w:val="001E4CA6"/>
    <w:rsid w:val="001F0D11"/>
    <w:rsid w:val="001F1387"/>
    <w:rsid w:val="001F5061"/>
    <w:rsid w:val="001F6EB4"/>
    <w:rsid w:val="00200A4B"/>
    <w:rsid w:val="002056DD"/>
    <w:rsid w:val="00207F0A"/>
    <w:rsid w:val="00221697"/>
    <w:rsid w:val="002238A6"/>
    <w:rsid w:val="00223DF2"/>
    <w:rsid w:val="00227643"/>
    <w:rsid w:val="0023077A"/>
    <w:rsid w:val="0023148A"/>
    <w:rsid w:val="00234A98"/>
    <w:rsid w:val="00237549"/>
    <w:rsid w:val="00242EB7"/>
    <w:rsid w:val="00244CB9"/>
    <w:rsid w:val="00244E37"/>
    <w:rsid w:val="00246905"/>
    <w:rsid w:val="00247ACC"/>
    <w:rsid w:val="0025037D"/>
    <w:rsid w:val="002520C3"/>
    <w:rsid w:val="0025450B"/>
    <w:rsid w:val="00261DA0"/>
    <w:rsid w:val="00263EBB"/>
    <w:rsid w:val="0026721D"/>
    <w:rsid w:val="002679D3"/>
    <w:rsid w:val="00272256"/>
    <w:rsid w:val="00276D2D"/>
    <w:rsid w:val="00281329"/>
    <w:rsid w:val="002813C2"/>
    <w:rsid w:val="0028150E"/>
    <w:rsid w:val="00285282"/>
    <w:rsid w:val="002907C4"/>
    <w:rsid w:val="00291195"/>
    <w:rsid w:val="002940AF"/>
    <w:rsid w:val="00294F6D"/>
    <w:rsid w:val="002A0509"/>
    <w:rsid w:val="002A0667"/>
    <w:rsid w:val="002A210E"/>
    <w:rsid w:val="002A224D"/>
    <w:rsid w:val="002A3B06"/>
    <w:rsid w:val="002B163D"/>
    <w:rsid w:val="002C3B29"/>
    <w:rsid w:val="002C4153"/>
    <w:rsid w:val="002C5E1F"/>
    <w:rsid w:val="002C70D8"/>
    <w:rsid w:val="002D0F4A"/>
    <w:rsid w:val="002D175B"/>
    <w:rsid w:val="002D19B6"/>
    <w:rsid w:val="002D391F"/>
    <w:rsid w:val="002D5A4E"/>
    <w:rsid w:val="002E27F4"/>
    <w:rsid w:val="002F202E"/>
    <w:rsid w:val="002F34FC"/>
    <w:rsid w:val="002F4C0B"/>
    <w:rsid w:val="002F5F29"/>
    <w:rsid w:val="002F7927"/>
    <w:rsid w:val="0030131F"/>
    <w:rsid w:val="00301B1B"/>
    <w:rsid w:val="00303FFD"/>
    <w:rsid w:val="00323281"/>
    <w:rsid w:val="0032369B"/>
    <w:rsid w:val="0032467D"/>
    <w:rsid w:val="00326988"/>
    <w:rsid w:val="00326FD2"/>
    <w:rsid w:val="00327C3E"/>
    <w:rsid w:val="003328F0"/>
    <w:rsid w:val="00333DCD"/>
    <w:rsid w:val="00334FB7"/>
    <w:rsid w:val="00346EB1"/>
    <w:rsid w:val="0035182D"/>
    <w:rsid w:val="00353A16"/>
    <w:rsid w:val="0035532C"/>
    <w:rsid w:val="0035577A"/>
    <w:rsid w:val="00356C55"/>
    <w:rsid w:val="003618AF"/>
    <w:rsid w:val="00362519"/>
    <w:rsid w:val="003669D5"/>
    <w:rsid w:val="003742BA"/>
    <w:rsid w:val="00377C03"/>
    <w:rsid w:val="00382B4D"/>
    <w:rsid w:val="00390C2E"/>
    <w:rsid w:val="00392457"/>
    <w:rsid w:val="003928CF"/>
    <w:rsid w:val="00392D07"/>
    <w:rsid w:val="00393BE6"/>
    <w:rsid w:val="003970C9"/>
    <w:rsid w:val="003A0011"/>
    <w:rsid w:val="003A384C"/>
    <w:rsid w:val="003A6522"/>
    <w:rsid w:val="003A6554"/>
    <w:rsid w:val="003B25DF"/>
    <w:rsid w:val="003B384F"/>
    <w:rsid w:val="003B55FE"/>
    <w:rsid w:val="003C0465"/>
    <w:rsid w:val="003C0FA7"/>
    <w:rsid w:val="003C45E8"/>
    <w:rsid w:val="003C497E"/>
    <w:rsid w:val="003D22CB"/>
    <w:rsid w:val="003D3C5C"/>
    <w:rsid w:val="003D4987"/>
    <w:rsid w:val="003E3C26"/>
    <w:rsid w:val="003E763F"/>
    <w:rsid w:val="003E78F8"/>
    <w:rsid w:val="003F004F"/>
    <w:rsid w:val="003F6855"/>
    <w:rsid w:val="003F69AB"/>
    <w:rsid w:val="003F7128"/>
    <w:rsid w:val="00400159"/>
    <w:rsid w:val="00403DFA"/>
    <w:rsid w:val="00412CAF"/>
    <w:rsid w:val="00416D15"/>
    <w:rsid w:val="0041751D"/>
    <w:rsid w:val="00417F97"/>
    <w:rsid w:val="004209A6"/>
    <w:rsid w:val="00423360"/>
    <w:rsid w:val="0043128D"/>
    <w:rsid w:val="00432B91"/>
    <w:rsid w:val="0043326C"/>
    <w:rsid w:val="004332F1"/>
    <w:rsid w:val="00440891"/>
    <w:rsid w:val="00447C1D"/>
    <w:rsid w:val="00454878"/>
    <w:rsid w:val="00456DDD"/>
    <w:rsid w:val="00457374"/>
    <w:rsid w:val="00460DBF"/>
    <w:rsid w:val="004614B0"/>
    <w:rsid w:val="00461944"/>
    <w:rsid w:val="0046474C"/>
    <w:rsid w:val="004679F0"/>
    <w:rsid w:val="00467A5C"/>
    <w:rsid w:val="004705E1"/>
    <w:rsid w:val="004714CE"/>
    <w:rsid w:val="00472ED2"/>
    <w:rsid w:val="00474D21"/>
    <w:rsid w:val="004779BF"/>
    <w:rsid w:val="00483FC2"/>
    <w:rsid w:val="00484924"/>
    <w:rsid w:val="00487BBA"/>
    <w:rsid w:val="00490E7A"/>
    <w:rsid w:val="00495FEF"/>
    <w:rsid w:val="0049784D"/>
    <w:rsid w:val="00497E9C"/>
    <w:rsid w:val="004A6586"/>
    <w:rsid w:val="004A7018"/>
    <w:rsid w:val="004A794B"/>
    <w:rsid w:val="004B03F0"/>
    <w:rsid w:val="004C030F"/>
    <w:rsid w:val="004C2B5B"/>
    <w:rsid w:val="004C3B59"/>
    <w:rsid w:val="004C6DB7"/>
    <w:rsid w:val="004C6EF6"/>
    <w:rsid w:val="004D1EC8"/>
    <w:rsid w:val="004D5B17"/>
    <w:rsid w:val="004D6A66"/>
    <w:rsid w:val="004E3ED2"/>
    <w:rsid w:val="004E64B8"/>
    <w:rsid w:val="004E75FE"/>
    <w:rsid w:val="004F0F61"/>
    <w:rsid w:val="004F4E5E"/>
    <w:rsid w:val="00501294"/>
    <w:rsid w:val="0050165D"/>
    <w:rsid w:val="005053FB"/>
    <w:rsid w:val="00510853"/>
    <w:rsid w:val="00511DD2"/>
    <w:rsid w:val="005148F1"/>
    <w:rsid w:val="00515498"/>
    <w:rsid w:val="00515EBC"/>
    <w:rsid w:val="00516FBA"/>
    <w:rsid w:val="0052094E"/>
    <w:rsid w:val="00521B1F"/>
    <w:rsid w:val="00522EA1"/>
    <w:rsid w:val="00522FEB"/>
    <w:rsid w:val="00523CBE"/>
    <w:rsid w:val="00524DBC"/>
    <w:rsid w:val="00527B9E"/>
    <w:rsid w:val="00532A10"/>
    <w:rsid w:val="005342D1"/>
    <w:rsid w:val="0054283F"/>
    <w:rsid w:val="00544A04"/>
    <w:rsid w:val="00557DF4"/>
    <w:rsid w:val="0056430C"/>
    <w:rsid w:val="0056445E"/>
    <w:rsid w:val="00566534"/>
    <w:rsid w:val="00573EC5"/>
    <w:rsid w:val="005760F0"/>
    <w:rsid w:val="00576D79"/>
    <w:rsid w:val="005804FE"/>
    <w:rsid w:val="00581BBF"/>
    <w:rsid w:val="00585AC3"/>
    <w:rsid w:val="005866B3"/>
    <w:rsid w:val="00590455"/>
    <w:rsid w:val="005A1BE8"/>
    <w:rsid w:val="005A3D8D"/>
    <w:rsid w:val="005B02C2"/>
    <w:rsid w:val="005B2909"/>
    <w:rsid w:val="005C0B08"/>
    <w:rsid w:val="005C3912"/>
    <w:rsid w:val="005D5F00"/>
    <w:rsid w:val="005D5FDD"/>
    <w:rsid w:val="005E1733"/>
    <w:rsid w:val="005E4883"/>
    <w:rsid w:val="005E6B26"/>
    <w:rsid w:val="005F2773"/>
    <w:rsid w:val="005F4A7D"/>
    <w:rsid w:val="005F50FD"/>
    <w:rsid w:val="005F6868"/>
    <w:rsid w:val="0060041F"/>
    <w:rsid w:val="00601BA2"/>
    <w:rsid w:val="00602880"/>
    <w:rsid w:val="00602B4F"/>
    <w:rsid w:val="0060570E"/>
    <w:rsid w:val="00607109"/>
    <w:rsid w:val="006109F8"/>
    <w:rsid w:val="0061416F"/>
    <w:rsid w:val="00620226"/>
    <w:rsid w:val="00620DC5"/>
    <w:rsid w:val="00620EA6"/>
    <w:rsid w:val="00621DE2"/>
    <w:rsid w:val="006240F4"/>
    <w:rsid w:val="0063465E"/>
    <w:rsid w:val="00634C3F"/>
    <w:rsid w:val="0063617B"/>
    <w:rsid w:val="00637807"/>
    <w:rsid w:val="006402D0"/>
    <w:rsid w:val="00640CD4"/>
    <w:rsid w:val="006447E5"/>
    <w:rsid w:val="006541D7"/>
    <w:rsid w:val="00655304"/>
    <w:rsid w:val="00660A86"/>
    <w:rsid w:val="00661009"/>
    <w:rsid w:val="00663408"/>
    <w:rsid w:val="0066699D"/>
    <w:rsid w:val="00680B0B"/>
    <w:rsid w:val="006839D6"/>
    <w:rsid w:val="006867CB"/>
    <w:rsid w:val="00687130"/>
    <w:rsid w:val="00687797"/>
    <w:rsid w:val="006939E0"/>
    <w:rsid w:val="00694149"/>
    <w:rsid w:val="0069434D"/>
    <w:rsid w:val="00694F89"/>
    <w:rsid w:val="006A33F2"/>
    <w:rsid w:val="006A4711"/>
    <w:rsid w:val="006A4805"/>
    <w:rsid w:val="006A50FB"/>
    <w:rsid w:val="006A591F"/>
    <w:rsid w:val="006B243F"/>
    <w:rsid w:val="006B3D1B"/>
    <w:rsid w:val="006B49A5"/>
    <w:rsid w:val="006B5334"/>
    <w:rsid w:val="006B5B83"/>
    <w:rsid w:val="006C1D62"/>
    <w:rsid w:val="006D0A13"/>
    <w:rsid w:val="006D20AF"/>
    <w:rsid w:val="006D3266"/>
    <w:rsid w:val="006D5C96"/>
    <w:rsid w:val="006D5EEA"/>
    <w:rsid w:val="006D6098"/>
    <w:rsid w:val="006D69BA"/>
    <w:rsid w:val="006D6BE5"/>
    <w:rsid w:val="006D6FCE"/>
    <w:rsid w:val="006E0ECB"/>
    <w:rsid w:val="006E2882"/>
    <w:rsid w:val="006E2ECA"/>
    <w:rsid w:val="006E3BE2"/>
    <w:rsid w:val="006E3D8D"/>
    <w:rsid w:val="006E43DD"/>
    <w:rsid w:val="006E549B"/>
    <w:rsid w:val="006E7E00"/>
    <w:rsid w:val="006F0080"/>
    <w:rsid w:val="006F0AEB"/>
    <w:rsid w:val="006F1197"/>
    <w:rsid w:val="006F236A"/>
    <w:rsid w:val="00700565"/>
    <w:rsid w:val="007005C6"/>
    <w:rsid w:val="0070099A"/>
    <w:rsid w:val="00702261"/>
    <w:rsid w:val="007028B4"/>
    <w:rsid w:val="00705506"/>
    <w:rsid w:val="00712170"/>
    <w:rsid w:val="00712509"/>
    <w:rsid w:val="00717177"/>
    <w:rsid w:val="00720E1C"/>
    <w:rsid w:val="00721EC7"/>
    <w:rsid w:val="007236DC"/>
    <w:rsid w:val="00723AF2"/>
    <w:rsid w:val="00725C13"/>
    <w:rsid w:val="00725C34"/>
    <w:rsid w:val="00726626"/>
    <w:rsid w:val="00732440"/>
    <w:rsid w:val="007342A8"/>
    <w:rsid w:val="00736DA5"/>
    <w:rsid w:val="00742B21"/>
    <w:rsid w:val="00744043"/>
    <w:rsid w:val="00746A93"/>
    <w:rsid w:val="007511E5"/>
    <w:rsid w:val="00751B71"/>
    <w:rsid w:val="00751C2F"/>
    <w:rsid w:val="00751FD4"/>
    <w:rsid w:val="007523DA"/>
    <w:rsid w:val="0075277C"/>
    <w:rsid w:val="007549D9"/>
    <w:rsid w:val="00757EE7"/>
    <w:rsid w:val="00760B48"/>
    <w:rsid w:val="007613D9"/>
    <w:rsid w:val="00766450"/>
    <w:rsid w:val="00771922"/>
    <w:rsid w:val="007738C5"/>
    <w:rsid w:val="007750E6"/>
    <w:rsid w:val="00782735"/>
    <w:rsid w:val="0078312B"/>
    <w:rsid w:val="00784448"/>
    <w:rsid w:val="00790D7A"/>
    <w:rsid w:val="00796D9C"/>
    <w:rsid w:val="007A0386"/>
    <w:rsid w:val="007A1438"/>
    <w:rsid w:val="007A2CAD"/>
    <w:rsid w:val="007A2F62"/>
    <w:rsid w:val="007A3888"/>
    <w:rsid w:val="007B54A9"/>
    <w:rsid w:val="007B5EBF"/>
    <w:rsid w:val="007B7207"/>
    <w:rsid w:val="007C06A0"/>
    <w:rsid w:val="007C4C89"/>
    <w:rsid w:val="007C5F47"/>
    <w:rsid w:val="007D252C"/>
    <w:rsid w:val="007D2A02"/>
    <w:rsid w:val="007D2C43"/>
    <w:rsid w:val="007D310B"/>
    <w:rsid w:val="007D56C8"/>
    <w:rsid w:val="007D746B"/>
    <w:rsid w:val="007E409D"/>
    <w:rsid w:val="007E7013"/>
    <w:rsid w:val="007E71BF"/>
    <w:rsid w:val="007F0947"/>
    <w:rsid w:val="007F0B79"/>
    <w:rsid w:val="007F1C3F"/>
    <w:rsid w:val="007F2316"/>
    <w:rsid w:val="007F5575"/>
    <w:rsid w:val="007F5C3E"/>
    <w:rsid w:val="007F717A"/>
    <w:rsid w:val="007F718E"/>
    <w:rsid w:val="00800F23"/>
    <w:rsid w:val="00804FB3"/>
    <w:rsid w:val="00806E9B"/>
    <w:rsid w:val="00810E9C"/>
    <w:rsid w:val="00811163"/>
    <w:rsid w:val="00811CB5"/>
    <w:rsid w:val="00814DF6"/>
    <w:rsid w:val="0081587A"/>
    <w:rsid w:val="00821E8C"/>
    <w:rsid w:val="008247CD"/>
    <w:rsid w:val="00824972"/>
    <w:rsid w:val="008265DA"/>
    <w:rsid w:val="008325D8"/>
    <w:rsid w:val="008343CF"/>
    <w:rsid w:val="00837037"/>
    <w:rsid w:val="00837073"/>
    <w:rsid w:val="00837CDD"/>
    <w:rsid w:val="008441EC"/>
    <w:rsid w:val="008472F1"/>
    <w:rsid w:val="00855220"/>
    <w:rsid w:val="0086356B"/>
    <w:rsid w:val="008704BF"/>
    <w:rsid w:val="00876AC5"/>
    <w:rsid w:val="00877453"/>
    <w:rsid w:val="008819E1"/>
    <w:rsid w:val="008864B9"/>
    <w:rsid w:val="00887699"/>
    <w:rsid w:val="008908A8"/>
    <w:rsid w:val="0089108A"/>
    <w:rsid w:val="00893F67"/>
    <w:rsid w:val="008954D7"/>
    <w:rsid w:val="00895593"/>
    <w:rsid w:val="0089714F"/>
    <w:rsid w:val="008A20D2"/>
    <w:rsid w:val="008A41CF"/>
    <w:rsid w:val="008A41D9"/>
    <w:rsid w:val="008A4EE1"/>
    <w:rsid w:val="008A5B70"/>
    <w:rsid w:val="008A5ED3"/>
    <w:rsid w:val="008B1BAE"/>
    <w:rsid w:val="008B26F6"/>
    <w:rsid w:val="008B2DA4"/>
    <w:rsid w:val="008C64DF"/>
    <w:rsid w:val="008C65C6"/>
    <w:rsid w:val="008D2BB8"/>
    <w:rsid w:val="008D3388"/>
    <w:rsid w:val="008E0AD6"/>
    <w:rsid w:val="008F084C"/>
    <w:rsid w:val="008F4175"/>
    <w:rsid w:val="008F6C8F"/>
    <w:rsid w:val="00900943"/>
    <w:rsid w:val="009009AE"/>
    <w:rsid w:val="00904ED8"/>
    <w:rsid w:val="00910DE1"/>
    <w:rsid w:val="00917A01"/>
    <w:rsid w:val="00920C96"/>
    <w:rsid w:val="00925800"/>
    <w:rsid w:val="009322F5"/>
    <w:rsid w:val="00934487"/>
    <w:rsid w:val="00935CFD"/>
    <w:rsid w:val="00936535"/>
    <w:rsid w:val="00941F68"/>
    <w:rsid w:val="00942F99"/>
    <w:rsid w:val="00943EE6"/>
    <w:rsid w:val="009445AF"/>
    <w:rsid w:val="009462AD"/>
    <w:rsid w:val="009500AC"/>
    <w:rsid w:val="00951A7B"/>
    <w:rsid w:val="009520C6"/>
    <w:rsid w:val="00953586"/>
    <w:rsid w:val="00956A33"/>
    <w:rsid w:val="00956CE3"/>
    <w:rsid w:val="00961E95"/>
    <w:rsid w:val="00967C8E"/>
    <w:rsid w:val="00973D46"/>
    <w:rsid w:val="00976EF4"/>
    <w:rsid w:val="0098058F"/>
    <w:rsid w:val="009835BE"/>
    <w:rsid w:val="00990F12"/>
    <w:rsid w:val="009962D9"/>
    <w:rsid w:val="00997D86"/>
    <w:rsid w:val="009A1912"/>
    <w:rsid w:val="009A1BAC"/>
    <w:rsid w:val="009A1BFD"/>
    <w:rsid w:val="009A3CA5"/>
    <w:rsid w:val="009A472C"/>
    <w:rsid w:val="009A54BB"/>
    <w:rsid w:val="009B22C4"/>
    <w:rsid w:val="009B2C8F"/>
    <w:rsid w:val="009B49CF"/>
    <w:rsid w:val="009B5DC9"/>
    <w:rsid w:val="009B7111"/>
    <w:rsid w:val="009C1981"/>
    <w:rsid w:val="009C387E"/>
    <w:rsid w:val="009C4FAD"/>
    <w:rsid w:val="009C7B6F"/>
    <w:rsid w:val="009D40DE"/>
    <w:rsid w:val="009D4D06"/>
    <w:rsid w:val="009D7732"/>
    <w:rsid w:val="009E10CF"/>
    <w:rsid w:val="009E3852"/>
    <w:rsid w:val="009F47E2"/>
    <w:rsid w:val="009F7563"/>
    <w:rsid w:val="00A012BC"/>
    <w:rsid w:val="00A058BB"/>
    <w:rsid w:val="00A132A8"/>
    <w:rsid w:val="00A140EF"/>
    <w:rsid w:val="00A16CA2"/>
    <w:rsid w:val="00A17C95"/>
    <w:rsid w:val="00A2137E"/>
    <w:rsid w:val="00A214E3"/>
    <w:rsid w:val="00A23065"/>
    <w:rsid w:val="00A24FE2"/>
    <w:rsid w:val="00A31DC3"/>
    <w:rsid w:val="00A354C6"/>
    <w:rsid w:val="00A36041"/>
    <w:rsid w:val="00A40FE9"/>
    <w:rsid w:val="00A4181C"/>
    <w:rsid w:val="00A4193D"/>
    <w:rsid w:val="00A463BF"/>
    <w:rsid w:val="00A46AC5"/>
    <w:rsid w:val="00A46B3C"/>
    <w:rsid w:val="00A46C40"/>
    <w:rsid w:val="00A521BF"/>
    <w:rsid w:val="00A53E73"/>
    <w:rsid w:val="00A54AB6"/>
    <w:rsid w:val="00A57EA4"/>
    <w:rsid w:val="00A62B13"/>
    <w:rsid w:val="00A657B2"/>
    <w:rsid w:val="00A6773E"/>
    <w:rsid w:val="00A76708"/>
    <w:rsid w:val="00A774C5"/>
    <w:rsid w:val="00A77F8A"/>
    <w:rsid w:val="00A81DCB"/>
    <w:rsid w:val="00A81DF0"/>
    <w:rsid w:val="00A825C4"/>
    <w:rsid w:val="00A83A60"/>
    <w:rsid w:val="00A84D94"/>
    <w:rsid w:val="00A90201"/>
    <w:rsid w:val="00A90EC4"/>
    <w:rsid w:val="00A92C4A"/>
    <w:rsid w:val="00A92F5E"/>
    <w:rsid w:val="00A97A51"/>
    <w:rsid w:val="00AA51E3"/>
    <w:rsid w:val="00AA6135"/>
    <w:rsid w:val="00AB0B38"/>
    <w:rsid w:val="00AB4C14"/>
    <w:rsid w:val="00AB69FD"/>
    <w:rsid w:val="00AC0379"/>
    <w:rsid w:val="00AD5643"/>
    <w:rsid w:val="00AE5675"/>
    <w:rsid w:val="00AF5C08"/>
    <w:rsid w:val="00AF762E"/>
    <w:rsid w:val="00AF76C2"/>
    <w:rsid w:val="00B00A52"/>
    <w:rsid w:val="00B065AE"/>
    <w:rsid w:val="00B06DA5"/>
    <w:rsid w:val="00B1234B"/>
    <w:rsid w:val="00B13F1A"/>
    <w:rsid w:val="00B144EE"/>
    <w:rsid w:val="00B227CF"/>
    <w:rsid w:val="00B2393E"/>
    <w:rsid w:val="00B256F6"/>
    <w:rsid w:val="00B30CBD"/>
    <w:rsid w:val="00B3336B"/>
    <w:rsid w:val="00B33A8D"/>
    <w:rsid w:val="00B352D9"/>
    <w:rsid w:val="00B41BB1"/>
    <w:rsid w:val="00B44064"/>
    <w:rsid w:val="00B51756"/>
    <w:rsid w:val="00B531C8"/>
    <w:rsid w:val="00B54B47"/>
    <w:rsid w:val="00B61BB6"/>
    <w:rsid w:val="00B65982"/>
    <w:rsid w:val="00B65D1C"/>
    <w:rsid w:val="00B71274"/>
    <w:rsid w:val="00B74498"/>
    <w:rsid w:val="00B74A3D"/>
    <w:rsid w:val="00B74B34"/>
    <w:rsid w:val="00B76556"/>
    <w:rsid w:val="00B77872"/>
    <w:rsid w:val="00B77AC1"/>
    <w:rsid w:val="00B921EB"/>
    <w:rsid w:val="00B93C16"/>
    <w:rsid w:val="00BA6714"/>
    <w:rsid w:val="00BB1216"/>
    <w:rsid w:val="00BB3900"/>
    <w:rsid w:val="00BB6786"/>
    <w:rsid w:val="00BB696D"/>
    <w:rsid w:val="00BB6F9D"/>
    <w:rsid w:val="00BC7AAA"/>
    <w:rsid w:val="00BD1411"/>
    <w:rsid w:val="00BD1975"/>
    <w:rsid w:val="00BD1E7C"/>
    <w:rsid w:val="00BD3618"/>
    <w:rsid w:val="00BD3EEB"/>
    <w:rsid w:val="00BD40BE"/>
    <w:rsid w:val="00BD7FAF"/>
    <w:rsid w:val="00BE6474"/>
    <w:rsid w:val="00BE7503"/>
    <w:rsid w:val="00BF12F4"/>
    <w:rsid w:val="00BF275D"/>
    <w:rsid w:val="00BF3211"/>
    <w:rsid w:val="00BF39C0"/>
    <w:rsid w:val="00BF5261"/>
    <w:rsid w:val="00C00483"/>
    <w:rsid w:val="00C03338"/>
    <w:rsid w:val="00C07FFA"/>
    <w:rsid w:val="00C141C8"/>
    <w:rsid w:val="00C1780C"/>
    <w:rsid w:val="00C20374"/>
    <w:rsid w:val="00C21282"/>
    <w:rsid w:val="00C22129"/>
    <w:rsid w:val="00C2316A"/>
    <w:rsid w:val="00C2485F"/>
    <w:rsid w:val="00C25D27"/>
    <w:rsid w:val="00C27D6A"/>
    <w:rsid w:val="00C3182F"/>
    <w:rsid w:val="00C33010"/>
    <w:rsid w:val="00C33BBF"/>
    <w:rsid w:val="00C33E06"/>
    <w:rsid w:val="00C34C5C"/>
    <w:rsid w:val="00C35960"/>
    <w:rsid w:val="00C37A40"/>
    <w:rsid w:val="00C40ED2"/>
    <w:rsid w:val="00C4746B"/>
    <w:rsid w:val="00C52ECE"/>
    <w:rsid w:val="00C56663"/>
    <w:rsid w:val="00C56B09"/>
    <w:rsid w:val="00C62281"/>
    <w:rsid w:val="00C66450"/>
    <w:rsid w:val="00C84672"/>
    <w:rsid w:val="00C8597A"/>
    <w:rsid w:val="00C90BF9"/>
    <w:rsid w:val="00C94DDC"/>
    <w:rsid w:val="00C95DD5"/>
    <w:rsid w:val="00C96939"/>
    <w:rsid w:val="00CA14D5"/>
    <w:rsid w:val="00CA153A"/>
    <w:rsid w:val="00CA2679"/>
    <w:rsid w:val="00CB0654"/>
    <w:rsid w:val="00CB0F20"/>
    <w:rsid w:val="00CB3373"/>
    <w:rsid w:val="00CB338E"/>
    <w:rsid w:val="00CB44EA"/>
    <w:rsid w:val="00CC2279"/>
    <w:rsid w:val="00CC6B49"/>
    <w:rsid w:val="00CC6C14"/>
    <w:rsid w:val="00CD39A0"/>
    <w:rsid w:val="00CD4F28"/>
    <w:rsid w:val="00CD5941"/>
    <w:rsid w:val="00CD75B6"/>
    <w:rsid w:val="00CE097C"/>
    <w:rsid w:val="00CE34E2"/>
    <w:rsid w:val="00CE6022"/>
    <w:rsid w:val="00CE68A8"/>
    <w:rsid w:val="00CF1D8B"/>
    <w:rsid w:val="00CF71CC"/>
    <w:rsid w:val="00D012BD"/>
    <w:rsid w:val="00D0224A"/>
    <w:rsid w:val="00D033D6"/>
    <w:rsid w:val="00D03B66"/>
    <w:rsid w:val="00D07440"/>
    <w:rsid w:val="00D0784B"/>
    <w:rsid w:val="00D07C4E"/>
    <w:rsid w:val="00D13AD5"/>
    <w:rsid w:val="00D148FA"/>
    <w:rsid w:val="00D170BF"/>
    <w:rsid w:val="00D17E54"/>
    <w:rsid w:val="00D21319"/>
    <w:rsid w:val="00D25D22"/>
    <w:rsid w:val="00D26C23"/>
    <w:rsid w:val="00D2739B"/>
    <w:rsid w:val="00D27E4F"/>
    <w:rsid w:val="00D3156D"/>
    <w:rsid w:val="00D31ABC"/>
    <w:rsid w:val="00D31B80"/>
    <w:rsid w:val="00D44494"/>
    <w:rsid w:val="00D47D82"/>
    <w:rsid w:val="00D52D6A"/>
    <w:rsid w:val="00D55828"/>
    <w:rsid w:val="00D62663"/>
    <w:rsid w:val="00D63C10"/>
    <w:rsid w:val="00D63DE6"/>
    <w:rsid w:val="00D65423"/>
    <w:rsid w:val="00D7226E"/>
    <w:rsid w:val="00D74AD2"/>
    <w:rsid w:val="00D769AE"/>
    <w:rsid w:val="00D76E39"/>
    <w:rsid w:val="00D77401"/>
    <w:rsid w:val="00D80D2A"/>
    <w:rsid w:val="00D829C3"/>
    <w:rsid w:val="00D837F3"/>
    <w:rsid w:val="00D85DA0"/>
    <w:rsid w:val="00D87E6D"/>
    <w:rsid w:val="00D902A7"/>
    <w:rsid w:val="00D94012"/>
    <w:rsid w:val="00D951D5"/>
    <w:rsid w:val="00D95640"/>
    <w:rsid w:val="00DA0228"/>
    <w:rsid w:val="00DA4A61"/>
    <w:rsid w:val="00DA5074"/>
    <w:rsid w:val="00DB62E5"/>
    <w:rsid w:val="00DB6A8B"/>
    <w:rsid w:val="00DB71D3"/>
    <w:rsid w:val="00DB7C56"/>
    <w:rsid w:val="00DC1964"/>
    <w:rsid w:val="00DD1931"/>
    <w:rsid w:val="00DE3154"/>
    <w:rsid w:val="00DE3F4C"/>
    <w:rsid w:val="00DE7F07"/>
    <w:rsid w:val="00DF0FAF"/>
    <w:rsid w:val="00DF2080"/>
    <w:rsid w:val="00DF312F"/>
    <w:rsid w:val="00DF7983"/>
    <w:rsid w:val="00E05AEB"/>
    <w:rsid w:val="00E10783"/>
    <w:rsid w:val="00E10BEE"/>
    <w:rsid w:val="00E114F4"/>
    <w:rsid w:val="00E1685F"/>
    <w:rsid w:val="00E17D05"/>
    <w:rsid w:val="00E20A0A"/>
    <w:rsid w:val="00E2260C"/>
    <w:rsid w:val="00E24F57"/>
    <w:rsid w:val="00E2624A"/>
    <w:rsid w:val="00E31702"/>
    <w:rsid w:val="00E31F1D"/>
    <w:rsid w:val="00E34A71"/>
    <w:rsid w:val="00E37969"/>
    <w:rsid w:val="00E401D1"/>
    <w:rsid w:val="00E40A88"/>
    <w:rsid w:val="00E44313"/>
    <w:rsid w:val="00E47858"/>
    <w:rsid w:val="00E47AAA"/>
    <w:rsid w:val="00E50222"/>
    <w:rsid w:val="00E50BE1"/>
    <w:rsid w:val="00E51915"/>
    <w:rsid w:val="00E53036"/>
    <w:rsid w:val="00E54782"/>
    <w:rsid w:val="00E56E9E"/>
    <w:rsid w:val="00E662DA"/>
    <w:rsid w:val="00E731A1"/>
    <w:rsid w:val="00E82124"/>
    <w:rsid w:val="00E825B6"/>
    <w:rsid w:val="00E832DB"/>
    <w:rsid w:val="00E84627"/>
    <w:rsid w:val="00E92E94"/>
    <w:rsid w:val="00E93F72"/>
    <w:rsid w:val="00E94657"/>
    <w:rsid w:val="00EA0657"/>
    <w:rsid w:val="00EA7B3E"/>
    <w:rsid w:val="00EB0CAD"/>
    <w:rsid w:val="00EB233C"/>
    <w:rsid w:val="00EC1660"/>
    <w:rsid w:val="00EC487C"/>
    <w:rsid w:val="00EC57B9"/>
    <w:rsid w:val="00EC63DB"/>
    <w:rsid w:val="00ED55AD"/>
    <w:rsid w:val="00EE2226"/>
    <w:rsid w:val="00EE3C3B"/>
    <w:rsid w:val="00EE41E9"/>
    <w:rsid w:val="00EE78A1"/>
    <w:rsid w:val="00EF1217"/>
    <w:rsid w:val="00EF428A"/>
    <w:rsid w:val="00EF7562"/>
    <w:rsid w:val="00F0630A"/>
    <w:rsid w:val="00F07FDD"/>
    <w:rsid w:val="00F1035B"/>
    <w:rsid w:val="00F1079A"/>
    <w:rsid w:val="00F10CE3"/>
    <w:rsid w:val="00F168CD"/>
    <w:rsid w:val="00F16A59"/>
    <w:rsid w:val="00F2037C"/>
    <w:rsid w:val="00F203A6"/>
    <w:rsid w:val="00F20530"/>
    <w:rsid w:val="00F21A65"/>
    <w:rsid w:val="00F277E2"/>
    <w:rsid w:val="00F318D8"/>
    <w:rsid w:val="00F325C5"/>
    <w:rsid w:val="00F34222"/>
    <w:rsid w:val="00F3440B"/>
    <w:rsid w:val="00F3507C"/>
    <w:rsid w:val="00F4119E"/>
    <w:rsid w:val="00F4497C"/>
    <w:rsid w:val="00F45846"/>
    <w:rsid w:val="00F47196"/>
    <w:rsid w:val="00F53B05"/>
    <w:rsid w:val="00F61E73"/>
    <w:rsid w:val="00F672AD"/>
    <w:rsid w:val="00F70134"/>
    <w:rsid w:val="00F71D7C"/>
    <w:rsid w:val="00F75B07"/>
    <w:rsid w:val="00F873F4"/>
    <w:rsid w:val="00F874E3"/>
    <w:rsid w:val="00F91CF4"/>
    <w:rsid w:val="00F91DAC"/>
    <w:rsid w:val="00F970B4"/>
    <w:rsid w:val="00FA3318"/>
    <w:rsid w:val="00FA5811"/>
    <w:rsid w:val="00FA7891"/>
    <w:rsid w:val="00FA78ED"/>
    <w:rsid w:val="00FB0F29"/>
    <w:rsid w:val="00FB2BCB"/>
    <w:rsid w:val="00FB5C17"/>
    <w:rsid w:val="00FB6DC3"/>
    <w:rsid w:val="00FB6E87"/>
    <w:rsid w:val="00FB74E3"/>
    <w:rsid w:val="00FC17EC"/>
    <w:rsid w:val="00FC5D35"/>
    <w:rsid w:val="00FC631D"/>
    <w:rsid w:val="00FD6D5A"/>
    <w:rsid w:val="00FD78B8"/>
    <w:rsid w:val="00FE0878"/>
    <w:rsid w:val="00FE5480"/>
    <w:rsid w:val="00FE71DA"/>
    <w:rsid w:val="00FE7D2E"/>
    <w:rsid w:val="00FF091D"/>
    <w:rsid w:val="00FF272B"/>
    <w:rsid w:val="00FF7272"/>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41160"/>
  <w15:chartTrackingRefBased/>
  <w15:docId w15:val="{2D0C4F1E-15B7-49DA-951B-8A5DAE5F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FD"/>
    <w:pPr>
      <w:spacing w:after="0" w:line="276" w:lineRule="auto"/>
    </w:pPr>
    <w:rPr>
      <w:rFonts w:ascii="Arial" w:eastAsia="Arial" w:hAnsi="Arial" w:cs="Times New Roman"/>
    </w:rPr>
  </w:style>
  <w:style w:type="paragraph" w:styleId="Heading3">
    <w:name w:val="heading 3"/>
    <w:basedOn w:val="Normal"/>
    <w:next w:val="Normal"/>
    <w:link w:val="Heading3Char"/>
    <w:uiPriority w:val="9"/>
    <w:unhideWhenUsed/>
    <w:qFormat/>
    <w:rsid w:val="004A7018"/>
    <w:pPr>
      <w:spacing w:line="240" w:lineRule="auto"/>
      <w:outlineLvl w:val="2"/>
    </w:pPr>
    <w:rPr>
      <w:rFonts w:asciiTheme="minorHAnsi" w:eastAsiaTheme="minorHAnsi" w:hAnsiTheme="minorHAnsi" w:cstheme="minorHAns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FD"/>
    <w:pPr>
      <w:tabs>
        <w:tab w:val="center" w:pos="4680"/>
        <w:tab w:val="right" w:pos="9360"/>
      </w:tabs>
      <w:spacing w:line="240" w:lineRule="auto"/>
    </w:pPr>
  </w:style>
  <w:style w:type="character" w:customStyle="1" w:styleId="HeaderChar">
    <w:name w:val="Header Char"/>
    <w:basedOn w:val="DefaultParagraphFont"/>
    <w:link w:val="Header"/>
    <w:uiPriority w:val="99"/>
    <w:rsid w:val="009A1BFD"/>
    <w:rPr>
      <w:rFonts w:ascii="Arial" w:eastAsia="Arial" w:hAnsi="Arial" w:cs="Times New Roman"/>
    </w:rPr>
  </w:style>
  <w:style w:type="paragraph" w:styleId="FootnoteText">
    <w:name w:val="footnote text"/>
    <w:aliases w:val="Tablenote Text"/>
    <w:basedOn w:val="Normal"/>
    <w:link w:val="FootnoteTextChar"/>
    <w:uiPriority w:val="99"/>
    <w:unhideWhenUsed/>
    <w:qFormat/>
    <w:rsid w:val="001C2413"/>
    <w:pPr>
      <w:spacing w:line="240" w:lineRule="auto"/>
    </w:pPr>
    <w:rPr>
      <w:sz w:val="20"/>
      <w:szCs w:val="20"/>
    </w:rPr>
  </w:style>
  <w:style w:type="character" w:customStyle="1" w:styleId="FootnoteTextChar">
    <w:name w:val="Footnote Text Char"/>
    <w:aliases w:val="Tablenote Text Char"/>
    <w:basedOn w:val="DefaultParagraphFont"/>
    <w:link w:val="FootnoteText"/>
    <w:uiPriority w:val="99"/>
    <w:qFormat/>
    <w:rsid w:val="001C2413"/>
    <w:rPr>
      <w:rFonts w:ascii="Arial" w:eastAsia="Arial" w:hAnsi="Arial" w:cs="Times New Roman"/>
      <w:sz w:val="20"/>
      <w:szCs w:val="20"/>
    </w:rPr>
  </w:style>
  <w:style w:type="character" w:styleId="FootnoteReference">
    <w:name w:val="footnote reference"/>
    <w:aliases w:val="callout,4_G,Footnote Reference Number,Ref,de nota al pie,4_G Char Char,Footnote Reference1 Char Char,Footnotes refss Char Char,ftref Char Char,BVI fnr Char Char,BVI fnr Car Car Char Char,BVI fnr Car Char Char"/>
    <w:basedOn w:val="DefaultParagraphFont"/>
    <w:uiPriority w:val="99"/>
    <w:unhideWhenUsed/>
    <w:rsid w:val="001C2413"/>
    <w:rPr>
      <w:vertAlign w:val="superscript"/>
    </w:rPr>
  </w:style>
  <w:style w:type="character" w:styleId="Hyperlink">
    <w:name w:val="Hyperlink"/>
    <w:uiPriority w:val="99"/>
    <w:unhideWhenUsed/>
    <w:rsid w:val="0010526E"/>
    <w:rPr>
      <w:color w:val="00B0F0"/>
      <w:u w:val="single"/>
    </w:rPr>
  </w:style>
  <w:style w:type="character" w:styleId="CommentReference">
    <w:name w:val="annotation reference"/>
    <w:basedOn w:val="DefaultParagraphFont"/>
    <w:uiPriority w:val="99"/>
    <w:semiHidden/>
    <w:unhideWhenUsed/>
    <w:rsid w:val="0010526E"/>
    <w:rPr>
      <w:sz w:val="16"/>
      <w:szCs w:val="16"/>
    </w:rPr>
  </w:style>
  <w:style w:type="paragraph" w:styleId="CommentText">
    <w:name w:val="annotation text"/>
    <w:basedOn w:val="Normal"/>
    <w:link w:val="CommentTextChar"/>
    <w:uiPriority w:val="99"/>
    <w:unhideWhenUsed/>
    <w:rsid w:val="0010526E"/>
    <w:pPr>
      <w:spacing w:line="240" w:lineRule="auto"/>
    </w:pPr>
    <w:rPr>
      <w:rFonts w:ascii="Cambria" w:eastAsia="Cambria" w:hAnsi="Cambria"/>
      <w:sz w:val="20"/>
      <w:szCs w:val="20"/>
    </w:rPr>
  </w:style>
  <w:style w:type="character" w:customStyle="1" w:styleId="CommentTextChar">
    <w:name w:val="Comment Text Char"/>
    <w:basedOn w:val="DefaultParagraphFont"/>
    <w:link w:val="CommentText"/>
    <w:uiPriority w:val="99"/>
    <w:rsid w:val="0010526E"/>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1052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6E"/>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4A794B"/>
    <w:rPr>
      <w:rFonts w:ascii="Arial" w:eastAsia="Arial" w:hAnsi="Arial"/>
      <w:b/>
      <w:bCs/>
    </w:rPr>
  </w:style>
  <w:style w:type="character" w:customStyle="1" w:styleId="CommentSubjectChar">
    <w:name w:val="Comment Subject Char"/>
    <w:basedOn w:val="CommentTextChar"/>
    <w:link w:val="CommentSubject"/>
    <w:uiPriority w:val="99"/>
    <w:semiHidden/>
    <w:rsid w:val="004A794B"/>
    <w:rPr>
      <w:rFonts w:ascii="Arial" w:eastAsia="Arial" w:hAnsi="Arial" w:cs="Times New Roman"/>
      <w:b/>
      <w:bCs/>
      <w:sz w:val="20"/>
      <w:szCs w:val="20"/>
    </w:rPr>
  </w:style>
  <w:style w:type="paragraph" w:styleId="Footer">
    <w:name w:val="footer"/>
    <w:basedOn w:val="Normal"/>
    <w:link w:val="FooterChar"/>
    <w:uiPriority w:val="99"/>
    <w:unhideWhenUsed/>
    <w:rsid w:val="00CB338E"/>
    <w:pPr>
      <w:tabs>
        <w:tab w:val="center" w:pos="4680"/>
        <w:tab w:val="right" w:pos="9360"/>
      </w:tabs>
      <w:spacing w:line="240" w:lineRule="auto"/>
    </w:pPr>
  </w:style>
  <w:style w:type="character" w:customStyle="1" w:styleId="FooterChar">
    <w:name w:val="Footer Char"/>
    <w:basedOn w:val="DefaultParagraphFont"/>
    <w:link w:val="Footer"/>
    <w:uiPriority w:val="99"/>
    <w:rsid w:val="00CB338E"/>
    <w:rPr>
      <w:rFonts w:ascii="Arial" w:eastAsia="Arial" w:hAnsi="Arial" w:cs="Times New Roman"/>
    </w:rPr>
  </w:style>
  <w:style w:type="paragraph" w:styleId="NormalWeb">
    <w:name w:val="Normal (Web)"/>
    <w:basedOn w:val="Normal"/>
    <w:uiPriority w:val="99"/>
    <w:unhideWhenUsed/>
    <w:rsid w:val="002679D3"/>
    <w:pPr>
      <w:spacing w:before="100" w:beforeAutospacing="1" w:after="100" w:afterAutospacing="1" w:line="240" w:lineRule="auto"/>
    </w:pPr>
    <w:rPr>
      <w:rFonts w:eastAsia="MS Mincho" w:cs="Arial"/>
      <w:sz w:val="24"/>
      <w:szCs w:val="24"/>
    </w:rPr>
  </w:style>
  <w:style w:type="character" w:customStyle="1" w:styleId="apple-converted-space">
    <w:name w:val="apple-converted-space"/>
    <w:basedOn w:val="DefaultParagraphFont"/>
    <w:rsid w:val="00E56E9E"/>
  </w:style>
  <w:style w:type="character" w:styleId="FollowedHyperlink">
    <w:name w:val="FollowedHyperlink"/>
    <w:basedOn w:val="DefaultParagraphFont"/>
    <w:uiPriority w:val="99"/>
    <w:semiHidden/>
    <w:unhideWhenUsed/>
    <w:rsid w:val="0046474C"/>
    <w:rPr>
      <w:color w:val="954F72" w:themeColor="followedHyperlink"/>
      <w:u w:val="single"/>
    </w:rPr>
  </w:style>
  <w:style w:type="character" w:styleId="UnresolvedMention">
    <w:name w:val="Unresolved Mention"/>
    <w:basedOn w:val="DefaultParagraphFont"/>
    <w:uiPriority w:val="99"/>
    <w:semiHidden/>
    <w:unhideWhenUsed/>
    <w:rsid w:val="002C5E1F"/>
    <w:rPr>
      <w:color w:val="605E5C"/>
      <w:shd w:val="clear" w:color="auto" w:fill="E1DFDD"/>
    </w:rPr>
  </w:style>
  <w:style w:type="paragraph" w:styleId="ListParagraph">
    <w:name w:val="List Paragraph"/>
    <w:basedOn w:val="Normal"/>
    <w:uiPriority w:val="34"/>
    <w:qFormat/>
    <w:rsid w:val="00065A7F"/>
    <w:pPr>
      <w:ind w:left="720"/>
      <w:contextualSpacing/>
    </w:pPr>
  </w:style>
  <w:style w:type="paragraph" w:styleId="EndnoteText">
    <w:name w:val="endnote text"/>
    <w:basedOn w:val="Normal"/>
    <w:link w:val="EndnoteTextChar"/>
    <w:uiPriority w:val="99"/>
    <w:unhideWhenUsed/>
    <w:rsid w:val="0014365C"/>
    <w:pPr>
      <w:spacing w:line="240" w:lineRule="auto"/>
    </w:pPr>
    <w:rPr>
      <w:sz w:val="20"/>
      <w:szCs w:val="20"/>
    </w:rPr>
  </w:style>
  <w:style w:type="character" w:customStyle="1" w:styleId="EndnoteTextChar">
    <w:name w:val="Endnote Text Char"/>
    <w:basedOn w:val="DefaultParagraphFont"/>
    <w:link w:val="EndnoteText"/>
    <w:uiPriority w:val="99"/>
    <w:rsid w:val="0014365C"/>
    <w:rPr>
      <w:rFonts w:ascii="Arial" w:eastAsia="Arial" w:hAnsi="Arial" w:cs="Times New Roman"/>
      <w:sz w:val="20"/>
      <w:szCs w:val="20"/>
    </w:rPr>
  </w:style>
  <w:style w:type="character" w:styleId="EndnoteReference">
    <w:name w:val="endnote reference"/>
    <w:basedOn w:val="DefaultParagraphFont"/>
    <w:uiPriority w:val="99"/>
    <w:unhideWhenUsed/>
    <w:rsid w:val="0014365C"/>
    <w:rPr>
      <w:vertAlign w:val="superscript"/>
    </w:rPr>
  </w:style>
  <w:style w:type="paragraph" w:customStyle="1" w:styleId="Default">
    <w:name w:val="Default"/>
    <w:rsid w:val="008343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A7018"/>
    <w:rPr>
      <w:rFonts w:cstheme="minorHAnsi"/>
      <w:b/>
      <w:bCs/>
      <w:i/>
      <w:iCs/>
      <w:sz w:val="24"/>
      <w:szCs w:val="24"/>
    </w:rPr>
  </w:style>
  <w:style w:type="character" w:styleId="PlaceholderText">
    <w:name w:val="Placeholder Text"/>
    <w:basedOn w:val="DefaultParagraphFont"/>
    <w:uiPriority w:val="99"/>
    <w:semiHidden/>
    <w:rsid w:val="00751F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454">
      <w:bodyDiv w:val="1"/>
      <w:marLeft w:val="0"/>
      <w:marRight w:val="0"/>
      <w:marTop w:val="0"/>
      <w:marBottom w:val="0"/>
      <w:divBdr>
        <w:top w:val="none" w:sz="0" w:space="0" w:color="auto"/>
        <w:left w:val="none" w:sz="0" w:space="0" w:color="auto"/>
        <w:bottom w:val="none" w:sz="0" w:space="0" w:color="auto"/>
        <w:right w:val="none" w:sz="0" w:space="0" w:color="auto"/>
      </w:divBdr>
      <w:divsChild>
        <w:div w:id="652758338">
          <w:marLeft w:val="0"/>
          <w:marRight w:val="0"/>
          <w:marTop w:val="0"/>
          <w:marBottom w:val="0"/>
          <w:divBdr>
            <w:top w:val="none" w:sz="0" w:space="0" w:color="auto"/>
            <w:left w:val="none" w:sz="0" w:space="0" w:color="auto"/>
            <w:bottom w:val="none" w:sz="0" w:space="0" w:color="auto"/>
            <w:right w:val="none" w:sz="0" w:space="0" w:color="auto"/>
          </w:divBdr>
          <w:divsChild>
            <w:div w:id="2075083892">
              <w:marLeft w:val="0"/>
              <w:marRight w:val="0"/>
              <w:marTop w:val="0"/>
              <w:marBottom w:val="0"/>
              <w:divBdr>
                <w:top w:val="none" w:sz="0" w:space="0" w:color="auto"/>
                <w:left w:val="none" w:sz="0" w:space="0" w:color="auto"/>
                <w:bottom w:val="none" w:sz="0" w:space="0" w:color="auto"/>
                <w:right w:val="none" w:sz="0" w:space="0" w:color="auto"/>
              </w:divBdr>
              <w:divsChild>
                <w:div w:id="3801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130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68">
          <w:marLeft w:val="0"/>
          <w:marRight w:val="0"/>
          <w:marTop w:val="0"/>
          <w:marBottom w:val="0"/>
          <w:divBdr>
            <w:top w:val="none" w:sz="0" w:space="0" w:color="auto"/>
            <w:left w:val="none" w:sz="0" w:space="0" w:color="auto"/>
            <w:bottom w:val="none" w:sz="0" w:space="0" w:color="auto"/>
            <w:right w:val="none" w:sz="0" w:space="0" w:color="auto"/>
          </w:divBdr>
        </w:div>
        <w:div w:id="1266503077">
          <w:marLeft w:val="600"/>
          <w:marRight w:val="0"/>
          <w:marTop w:val="0"/>
          <w:marBottom w:val="0"/>
          <w:divBdr>
            <w:top w:val="none" w:sz="0" w:space="0" w:color="auto"/>
            <w:left w:val="none" w:sz="0" w:space="0" w:color="auto"/>
            <w:bottom w:val="none" w:sz="0" w:space="0" w:color="auto"/>
            <w:right w:val="none" w:sz="0" w:space="0" w:color="auto"/>
          </w:divBdr>
        </w:div>
        <w:div w:id="1143740785">
          <w:marLeft w:val="0"/>
          <w:marRight w:val="0"/>
          <w:marTop w:val="0"/>
          <w:marBottom w:val="0"/>
          <w:divBdr>
            <w:top w:val="none" w:sz="0" w:space="0" w:color="auto"/>
            <w:left w:val="none" w:sz="0" w:space="0" w:color="auto"/>
            <w:bottom w:val="none" w:sz="0" w:space="0" w:color="auto"/>
            <w:right w:val="none" w:sz="0" w:space="0" w:color="auto"/>
          </w:divBdr>
        </w:div>
      </w:divsChild>
    </w:div>
    <w:div w:id="347761087">
      <w:bodyDiv w:val="1"/>
      <w:marLeft w:val="0"/>
      <w:marRight w:val="0"/>
      <w:marTop w:val="0"/>
      <w:marBottom w:val="0"/>
      <w:divBdr>
        <w:top w:val="none" w:sz="0" w:space="0" w:color="auto"/>
        <w:left w:val="none" w:sz="0" w:space="0" w:color="auto"/>
        <w:bottom w:val="none" w:sz="0" w:space="0" w:color="auto"/>
        <w:right w:val="none" w:sz="0" w:space="0" w:color="auto"/>
      </w:divBdr>
    </w:div>
    <w:div w:id="509295335">
      <w:bodyDiv w:val="1"/>
      <w:marLeft w:val="0"/>
      <w:marRight w:val="0"/>
      <w:marTop w:val="0"/>
      <w:marBottom w:val="0"/>
      <w:divBdr>
        <w:top w:val="none" w:sz="0" w:space="0" w:color="auto"/>
        <w:left w:val="none" w:sz="0" w:space="0" w:color="auto"/>
        <w:bottom w:val="none" w:sz="0" w:space="0" w:color="auto"/>
        <w:right w:val="none" w:sz="0" w:space="0" w:color="auto"/>
      </w:divBdr>
    </w:div>
    <w:div w:id="707492465">
      <w:bodyDiv w:val="1"/>
      <w:marLeft w:val="0"/>
      <w:marRight w:val="0"/>
      <w:marTop w:val="0"/>
      <w:marBottom w:val="0"/>
      <w:divBdr>
        <w:top w:val="none" w:sz="0" w:space="0" w:color="auto"/>
        <w:left w:val="none" w:sz="0" w:space="0" w:color="auto"/>
        <w:bottom w:val="none" w:sz="0" w:space="0" w:color="auto"/>
        <w:right w:val="none" w:sz="0" w:space="0" w:color="auto"/>
      </w:divBdr>
      <w:divsChild>
        <w:div w:id="984041461">
          <w:marLeft w:val="0"/>
          <w:marRight w:val="0"/>
          <w:marTop w:val="0"/>
          <w:marBottom w:val="0"/>
          <w:divBdr>
            <w:top w:val="none" w:sz="0" w:space="0" w:color="auto"/>
            <w:left w:val="none" w:sz="0" w:space="0" w:color="auto"/>
            <w:bottom w:val="none" w:sz="0" w:space="0" w:color="auto"/>
            <w:right w:val="none" w:sz="0" w:space="0" w:color="auto"/>
          </w:divBdr>
          <w:divsChild>
            <w:div w:id="1119254154">
              <w:marLeft w:val="0"/>
              <w:marRight w:val="0"/>
              <w:marTop w:val="0"/>
              <w:marBottom w:val="0"/>
              <w:divBdr>
                <w:top w:val="none" w:sz="0" w:space="0" w:color="auto"/>
                <w:left w:val="none" w:sz="0" w:space="0" w:color="auto"/>
                <w:bottom w:val="none" w:sz="0" w:space="0" w:color="auto"/>
                <w:right w:val="none" w:sz="0" w:space="0" w:color="auto"/>
              </w:divBdr>
              <w:divsChild>
                <w:div w:id="1123811897">
                  <w:marLeft w:val="0"/>
                  <w:marRight w:val="0"/>
                  <w:marTop w:val="0"/>
                  <w:marBottom w:val="0"/>
                  <w:divBdr>
                    <w:top w:val="none" w:sz="0" w:space="0" w:color="auto"/>
                    <w:left w:val="none" w:sz="0" w:space="0" w:color="auto"/>
                    <w:bottom w:val="none" w:sz="0" w:space="0" w:color="auto"/>
                    <w:right w:val="none" w:sz="0" w:space="0" w:color="auto"/>
                  </w:divBdr>
                  <w:divsChild>
                    <w:div w:id="8878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4331">
      <w:bodyDiv w:val="1"/>
      <w:marLeft w:val="0"/>
      <w:marRight w:val="0"/>
      <w:marTop w:val="0"/>
      <w:marBottom w:val="0"/>
      <w:divBdr>
        <w:top w:val="none" w:sz="0" w:space="0" w:color="auto"/>
        <w:left w:val="none" w:sz="0" w:space="0" w:color="auto"/>
        <w:bottom w:val="none" w:sz="0" w:space="0" w:color="auto"/>
        <w:right w:val="none" w:sz="0" w:space="0" w:color="auto"/>
      </w:divBdr>
      <w:divsChild>
        <w:div w:id="1368682178">
          <w:marLeft w:val="0"/>
          <w:marRight w:val="0"/>
          <w:marTop w:val="0"/>
          <w:marBottom w:val="0"/>
          <w:divBdr>
            <w:top w:val="none" w:sz="0" w:space="0" w:color="auto"/>
            <w:left w:val="none" w:sz="0" w:space="0" w:color="auto"/>
            <w:bottom w:val="none" w:sz="0" w:space="0" w:color="auto"/>
            <w:right w:val="none" w:sz="0" w:space="0" w:color="auto"/>
          </w:divBdr>
          <w:divsChild>
            <w:div w:id="634990944">
              <w:marLeft w:val="0"/>
              <w:marRight w:val="0"/>
              <w:marTop w:val="0"/>
              <w:marBottom w:val="0"/>
              <w:divBdr>
                <w:top w:val="none" w:sz="0" w:space="0" w:color="auto"/>
                <w:left w:val="none" w:sz="0" w:space="0" w:color="auto"/>
                <w:bottom w:val="none" w:sz="0" w:space="0" w:color="auto"/>
                <w:right w:val="none" w:sz="0" w:space="0" w:color="auto"/>
              </w:divBdr>
              <w:divsChild>
                <w:div w:id="12679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8546">
      <w:bodyDiv w:val="1"/>
      <w:marLeft w:val="0"/>
      <w:marRight w:val="0"/>
      <w:marTop w:val="0"/>
      <w:marBottom w:val="0"/>
      <w:divBdr>
        <w:top w:val="none" w:sz="0" w:space="0" w:color="auto"/>
        <w:left w:val="none" w:sz="0" w:space="0" w:color="auto"/>
        <w:bottom w:val="none" w:sz="0" w:space="0" w:color="auto"/>
        <w:right w:val="none" w:sz="0" w:space="0" w:color="auto"/>
      </w:divBdr>
      <w:divsChild>
        <w:div w:id="351418610">
          <w:marLeft w:val="0"/>
          <w:marRight w:val="0"/>
          <w:marTop w:val="0"/>
          <w:marBottom w:val="0"/>
          <w:divBdr>
            <w:top w:val="none" w:sz="0" w:space="0" w:color="auto"/>
            <w:left w:val="none" w:sz="0" w:space="0" w:color="auto"/>
            <w:bottom w:val="none" w:sz="0" w:space="0" w:color="auto"/>
            <w:right w:val="none" w:sz="0" w:space="0" w:color="auto"/>
          </w:divBdr>
          <w:divsChild>
            <w:div w:id="1762871758">
              <w:marLeft w:val="0"/>
              <w:marRight w:val="0"/>
              <w:marTop w:val="0"/>
              <w:marBottom w:val="0"/>
              <w:divBdr>
                <w:top w:val="none" w:sz="0" w:space="0" w:color="auto"/>
                <w:left w:val="none" w:sz="0" w:space="0" w:color="auto"/>
                <w:bottom w:val="none" w:sz="0" w:space="0" w:color="auto"/>
                <w:right w:val="none" w:sz="0" w:space="0" w:color="auto"/>
              </w:divBdr>
              <w:divsChild>
                <w:div w:id="545527856">
                  <w:marLeft w:val="0"/>
                  <w:marRight w:val="0"/>
                  <w:marTop w:val="0"/>
                  <w:marBottom w:val="0"/>
                  <w:divBdr>
                    <w:top w:val="none" w:sz="0" w:space="0" w:color="auto"/>
                    <w:left w:val="none" w:sz="0" w:space="0" w:color="auto"/>
                    <w:bottom w:val="none" w:sz="0" w:space="0" w:color="auto"/>
                    <w:right w:val="none" w:sz="0" w:space="0" w:color="auto"/>
                  </w:divBdr>
                  <w:divsChild>
                    <w:div w:id="650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99347">
      <w:bodyDiv w:val="1"/>
      <w:marLeft w:val="0"/>
      <w:marRight w:val="0"/>
      <w:marTop w:val="0"/>
      <w:marBottom w:val="0"/>
      <w:divBdr>
        <w:top w:val="none" w:sz="0" w:space="0" w:color="auto"/>
        <w:left w:val="none" w:sz="0" w:space="0" w:color="auto"/>
        <w:bottom w:val="none" w:sz="0" w:space="0" w:color="auto"/>
        <w:right w:val="none" w:sz="0" w:space="0" w:color="auto"/>
      </w:divBdr>
      <w:divsChild>
        <w:div w:id="1061290506">
          <w:marLeft w:val="0"/>
          <w:marRight w:val="0"/>
          <w:marTop w:val="0"/>
          <w:marBottom w:val="0"/>
          <w:divBdr>
            <w:top w:val="none" w:sz="0" w:space="0" w:color="auto"/>
            <w:left w:val="none" w:sz="0" w:space="0" w:color="auto"/>
            <w:bottom w:val="none" w:sz="0" w:space="0" w:color="auto"/>
            <w:right w:val="none" w:sz="0" w:space="0" w:color="auto"/>
          </w:divBdr>
          <w:divsChild>
            <w:div w:id="863830972">
              <w:marLeft w:val="0"/>
              <w:marRight w:val="0"/>
              <w:marTop w:val="0"/>
              <w:marBottom w:val="0"/>
              <w:divBdr>
                <w:top w:val="none" w:sz="0" w:space="0" w:color="auto"/>
                <w:left w:val="none" w:sz="0" w:space="0" w:color="auto"/>
                <w:bottom w:val="none" w:sz="0" w:space="0" w:color="auto"/>
                <w:right w:val="none" w:sz="0" w:space="0" w:color="auto"/>
              </w:divBdr>
              <w:divsChild>
                <w:div w:id="730081467">
                  <w:marLeft w:val="0"/>
                  <w:marRight w:val="0"/>
                  <w:marTop w:val="0"/>
                  <w:marBottom w:val="0"/>
                  <w:divBdr>
                    <w:top w:val="none" w:sz="0" w:space="0" w:color="auto"/>
                    <w:left w:val="none" w:sz="0" w:space="0" w:color="auto"/>
                    <w:bottom w:val="none" w:sz="0" w:space="0" w:color="auto"/>
                    <w:right w:val="none" w:sz="0" w:space="0" w:color="auto"/>
                  </w:divBdr>
                  <w:divsChild>
                    <w:div w:id="1432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41082">
      <w:bodyDiv w:val="1"/>
      <w:marLeft w:val="0"/>
      <w:marRight w:val="0"/>
      <w:marTop w:val="0"/>
      <w:marBottom w:val="0"/>
      <w:divBdr>
        <w:top w:val="none" w:sz="0" w:space="0" w:color="auto"/>
        <w:left w:val="none" w:sz="0" w:space="0" w:color="auto"/>
        <w:bottom w:val="none" w:sz="0" w:space="0" w:color="auto"/>
        <w:right w:val="none" w:sz="0" w:space="0" w:color="auto"/>
      </w:divBdr>
    </w:div>
    <w:div w:id="1292134409">
      <w:bodyDiv w:val="1"/>
      <w:marLeft w:val="0"/>
      <w:marRight w:val="0"/>
      <w:marTop w:val="0"/>
      <w:marBottom w:val="0"/>
      <w:divBdr>
        <w:top w:val="none" w:sz="0" w:space="0" w:color="auto"/>
        <w:left w:val="none" w:sz="0" w:space="0" w:color="auto"/>
        <w:bottom w:val="none" w:sz="0" w:space="0" w:color="auto"/>
        <w:right w:val="none" w:sz="0" w:space="0" w:color="auto"/>
      </w:divBdr>
    </w:div>
    <w:div w:id="1318463494">
      <w:bodyDiv w:val="1"/>
      <w:marLeft w:val="0"/>
      <w:marRight w:val="0"/>
      <w:marTop w:val="0"/>
      <w:marBottom w:val="0"/>
      <w:divBdr>
        <w:top w:val="none" w:sz="0" w:space="0" w:color="auto"/>
        <w:left w:val="none" w:sz="0" w:space="0" w:color="auto"/>
        <w:bottom w:val="none" w:sz="0" w:space="0" w:color="auto"/>
        <w:right w:val="none" w:sz="0" w:space="0" w:color="auto"/>
      </w:divBdr>
      <w:divsChild>
        <w:div w:id="690499512">
          <w:marLeft w:val="0"/>
          <w:marRight w:val="0"/>
          <w:marTop w:val="0"/>
          <w:marBottom w:val="0"/>
          <w:divBdr>
            <w:top w:val="none" w:sz="0" w:space="0" w:color="auto"/>
            <w:left w:val="none" w:sz="0" w:space="0" w:color="auto"/>
            <w:bottom w:val="none" w:sz="0" w:space="0" w:color="auto"/>
            <w:right w:val="none" w:sz="0" w:space="0" w:color="auto"/>
          </w:divBdr>
          <w:divsChild>
            <w:div w:id="191111692">
              <w:marLeft w:val="0"/>
              <w:marRight w:val="0"/>
              <w:marTop w:val="0"/>
              <w:marBottom w:val="0"/>
              <w:divBdr>
                <w:top w:val="none" w:sz="0" w:space="0" w:color="auto"/>
                <w:left w:val="none" w:sz="0" w:space="0" w:color="auto"/>
                <w:bottom w:val="none" w:sz="0" w:space="0" w:color="auto"/>
                <w:right w:val="none" w:sz="0" w:space="0" w:color="auto"/>
              </w:divBdr>
              <w:divsChild>
                <w:div w:id="1549992111">
                  <w:marLeft w:val="0"/>
                  <w:marRight w:val="0"/>
                  <w:marTop w:val="0"/>
                  <w:marBottom w:val="0"/>
                  <w:divBdr>
                    <w:top w:val="none" w:sz="0" w:space="0" w:color="auto"/>
                    <w:left w:val="none" w:sz="0" w:space="0" w:color="auto"/>
                    <w:bottom w:val="none" w:sz="0" w:space="0" w:color="auto"/>
                    <w:right w:val="none" w:sz="0" w:space="0" w:color="auto"/>
                  </w:divBdr>
                </w:div>
                <w:div w:id="810706291">
                  <w:marLeft w:val="0"/>
                  <w:marRight w:val="0"/>
                  <w:marTop w:val="0"/>
                  <w:marBottom w:val="0"/>
                  <w:divBdr>
                    <w:top w:val="none" w:sz="0" w:space="0" w:color="auto"/>
                    <w:left w:val="none" w:sz="0" w:space="0" w:color="auto"/>
                    <w:bottom w:val="none" w:sz="0" w:space="0" w:color="auto"/>
                    <w:right w:val="none" w:sz="0" w:space="0" w:color="auto"/>
                  </w:divBdr>
                </w:div>
                <w:div w:id="2221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69412">
      <w:bodyDiv w:val="1"/>
      <w:marLeft w:val="0"/>
      <w:marRight w:val="0"/>
      <w:marTop w:val="0"/>
      <w:marBottom w:val="0"/>
      <w:divBdr>
        <w:top w:val="none" w:sz="0" w:space="0" w:color="auto"/>
        <w:left w:val="none" w:sz="0" w:space="0" w:color="auto"/>
        <w:bottom w:val="none" w:sz="0" w:space="0" w:color="auto"/>
        <w:right w:val="none" w:sz="0" w:space="0" w:color="auto"/>
      </w:divBdr>
    </w:div>
    <w:div w:id="1633513197">
      <w:bodyDiv w:val="1"/>
      <w:marLeft w:val="0"/>
      <w:marRight w:val="0"/>
      <w:marTop w:val="0"/>
      <w:marBottom w:val="0"/>
      <w:divBdr>
        <w:top w:val="none" w:sz="0" w:space="0" w:color="auto"/>
        <w:left w:val="none" w:sz="0" w:space="0" w:color="auto"/>
        <w:bottom w:val="none" w:sz="0" w:space="0" w:color="auto"/>
        <w:right w:val="none" w:sz="0" w:space="0" w:color="auto"/>
      </w:divBdr>
    </w:div>
    <w:div w:id="1696227727">
      <w:bodyDiv w:val="1"/>
      <w:marLeft w:val="0"/>
      <w:marRight w:val="0"/>
      <w:marTop w:val="0"/>
      <w:marBottom w:val="0"/>
      <w:divBdr>
        <w:top w:val="none" w:sz="0" w:space="0" w:color="auto"/>
        <w:left w:val="none" w:sz="0" w:space="0" w:color="auto"/>
        <w:bottom w:val="none" w:sz="0" w:space="0" w:color="auto"/>
        <w:right w:val="none" w:sz="0" w:space="0" w:color="auto"/>
      </w:divBdr>
      <w:divsChild>
        <w:div w:id="94205879">
          <w:marLeft w:val="0"/>
          <w:marRight w:val="0"/>
          <w:marTop w:val="0"/>
          <w:marBottom w:val="0"/>
          <w:divBdr>
            <w:top w:val="none" w:sz="0" w:space="0" w:color="auto"/>
            <w:left w:val="none" w:sz="0" w:space="0" w:color="auto"/>
            <w:bottom w:val="none" w:sz="0" w:space="0" w:color="auto"/>
            <w:right w:val="none" w:sz="0" w:space="0" w:color="auto"/>
          </w:divBdr>
          <w:divsChild>
            <w:div w:id="759528216">
              <w:marLeft w:val="0"/>
              <w:marRight w:val="0"/>
              <w:marTop w:val="0"/>
              <w:marBottom w:val="0"/>
              <w:divBdr>
                <w:top w:val="none" w:sz="0" w:space="0" w:color="auto"/>
                <w:left w:val="none" w:sz="0" w:space="0" w:color="auto"/>
                <w:bottom w:val="none" w:sz="0" w:space="0" w:color="auto"/>
                <w:right w:val="none" w:sz="0" w:space="0" w:color="auto"/>
              </w:divBdr>
              <w:divsChild>
                <w:div w:id="1072118896">
                  <w:marLeft w:val="0"/>
                  <w:marRight w:val="0"/>
                  <w:marTop w:val="0"/>
                  <w:marBottom w:val="0"/>
                  <w:divBdr>
                    <w:top w:val="none" w:sz="0" w:space="0" w:color="auto"/>
                    <w:left w:val="none" w:sz="0" w:space="0" w:color="auto"/>
                    <w:bottom w:val="none" w:sz="0" w:space="0" w:color="auto"/>
                    <w:right w:val="none" w:sz="0" w:space="0" w:color="auto"/>
                  </w:divBdr>
                  <w:divsChild>
                    <w:div w:id="2022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93949">
      <w:bodyDiv w:val="1"/>
      <w:marLeft w:val="0"/>
      <w:marRight w:val="0"/>
      <w:marTop w:val="0"/>
      <w:marBottom w:val="0"/>
      <w:divBdr>
        <w:top w:val="none" w:sz="0" w:space="0" w:color="auto"/>
        <w:left w:val="none" w:sz="0" w:space="0" w:color="auto"/>
        <w:bottom w:val="none" w:sz="0" w:space="0" w:color="auto"/>
        <w:right w:val="none" w:sz="0" w:space="0" w:color="auto"/>
      </w:divBdr>
      <w:divsChild>
        <w:div w:id="347953171">
          <w:marLeft w:val="0"/>
          <w:marRight w:val="0"/>
          <w:marTop w:val="0"/>
          <w:marBottom w:val="0"/>
          <w:divBdr>
            <w:top w:val="none" w:sz="0" w:space="0" w:color="auto"/>
            <w:left w:val="none" w:sz="0" w:space="0" w:color="auto"/>
            <w:bottom w:val="none" w:sz="0" w:space="0" w:color="auto"/>
            <w:right w:val="none" w:sz="0" w:space="0" w:color="auto"/>
          </w:divBdr>
        </w:div>
        <w:div w:id="1985815327">
          <w:marLeft w:val="0"/>
          <w:marRight w:val="0"/>
          <w:marTop w:val="0"/>
          <w:marBottom w:val="0"/>
          <w:divBdr>
            <w:top w:val="none" w:sz="0" w:space="0" w:color="auto"/>
            <w:left w:val="none" w:sz="0" w:space="0" w:color="auto"/>
            <w:bottom w:val="none" w:sz="0" w:space="0" w:color="auto"/>
            <w:right w:val="none" w:sz="0" w:space="0" w:color="auto"/>
          </w:divBdr>
        </w:div>
      </w:divsChild>
    </w:div>
    <w:div w:id="1849519759">
      <w:bodyDiv w:val="1"/>
      <w:marLeft w:val="0"/>
      <w:marRight w:val="0"/>
      <w:marTop w:val="0"/>
      <w:marBottom w:val="0"/>
      <w:divBdr>
        <w:top w:val="none" w:sz="0" w:space="0" w:color="auto"/>
        <w:left w:val="none" w:sz="0" w:space="0" w:color="auto"/>
        <w:bottom w:val="none" w:sz="0" w:space="0" w:color="auto"/>
        <w:right w:val="none" w:sz="0" w:space="0" w:color="auto"/>
      </w:divBdr>
      <w:divsChild>
        <w:div w:id="1977878665">
          <w:marLeft w:val="0"/>
          <w:marRight w:val="0"/>
          <w:marTop w:val="0"/>
          <w:marBottom w:val="0"/>
          <w:divBdr>
            <w:top w:val="none" w:sz="0" w:space="0" w:color="auto"/>
            <w:left w:val="none" w:sz="0" w:space="0" w:color="auto"/>
            <w:bottom w:val="none" w:sz="0" w:space="0" w:color="auto"/>
            <w:right w:val="none" w:sz="0" w:space="0" w:color="auto"/>
          </w:divBdr>
          <w:divsChild>
            <w:div w:id="1830440999">
              <w:marLeft w:val="0"/>
              <w:marRight w:val="0"/>
              <w:marTop w:val="0"/>
              <w:marBottom w:val="0"/>
              <w:divBdr>
                <w:top w:val="none" w:sz="0" w:space="0" w:color="auto"/>
                <w:left w:val="none" w:sz="0" w:space="0" w:color="auto"/>
                <w:bottom w:val="none" w:sz="0" w:space="0" w:color="auto"/>
                <w:right w:val="none" w:sz="0" w:space="0" w:color="auto"/>
              </w:divBdr>
              <w:divsChild>
                <w:div w:id="1055276523">
                  <w:marLeft w:val="0"/>
                  <w:marRight w:val="0"/>
                  <w:marTop w:val="0"/>
                  <w:marBottom w:val="0"/>
                  <w:divBdr>
                    <w:top w:val="none" w:sz="0" w:space="0" w:color="auto"/>
                    <w:left w:val="none" w:sz="0" w:space="0" w:color="auto"/>
                    <w:bottom w:val="none" w:sz="0" w:space="0" w:color="auto"/>
                    <w:right w:val="none" w:sz="0" w:space="0" w:color="auto"/>
                  </w:divBdr>
                  <w:divsChild>
                    <w:div w:id="3354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5177">
      <w:bodyDiv w:val="1"/>
      <w:marLeft w:val="0"/>
      <w:marRight w:val="0"/>
      <w:marTop w:val="0"/>
      <w:marBottom w:val="0"/>
      <w:divBdr>
        <w:top w:val="none" w:sz="0" w:space="0" w:color="auto"/>
        <w:left w:val="none" w:sz="0" w:space="0" w:color="auto"/>
        <w:bottom w:val="none" w:sz="0" w:space="0" w:color="auto"/>
        <w:right w:val="none" w:sz="0" w:space="0" w:color="auto"/>
      </w:divBdr>
      <w:divsChild>
        <w:div w:id="35935958">
          <w:marLeft w:val="0"/>
          <w:marRight w:val="0"/>
          <w:marTop w:val="0"/>
          <w:marBottom w:val="0"/>
          <w:divBdr>
            <w:top w:val="none" w:sz="0" w:space="0" w:color="auto"/>
            <w:left w:val="none" w:sz="0" w:space="0" w:color="auto"/>
            <w:bottom w:val="none" w:sz="0" w:space="0" w:color="auto"/>
            <w:right w:val="none" w:sz="0" w:space="0" w:color="auto"/>
          </w:divBdr>
          <w:divsChild>
            <w:div w:id="704519437">
              <w:marLeft w:val="0"/>
              <w:marRight w:val="0"/>
              <w:marTop w:val="0"/>
              <w:marBottom w:val="0"/>
              <w:divBdr>
                <w:top w:val="none" w:sz="0" w:space="0" w:color="auto"/>
                <w:left w:val="none" w:sz="0" w:space="0" w:color="auto"/>
                <w:bottom w:val="none" w:sz="0" w:space="0" w:color="auto"/>
                <w:right w:val="none" w:sz="0" w:space="0" w:color="auto"/>
              </w:divBdr>
              <w:divsChild>
                <w:div w:id="777408075">
                  <w:marLeft w:val="0"/>
                  <w:marRight w:val="0"/>
                  <w:marTop w:val="0"/>
                  <w:marBottom w:val="0"/>
                  <w:divBdr>
                    <w:top w:val="none" w:sz="0" w:space="0" w:color="auto"/>
                    <w:left w:val="none" w:sz="0" w:space="0" w:color="auto"/>
                    <w:bottom w:val="none" w:sz="0" w:space="0" w:color="auto"/>
                    <w:right w:val="none" w:sz="0" w:space="0" w:color="auto"/>
                  </w:divBdr>
                  <w:divsChild>
                    <w:div w:id="97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44205">
      <w:bodyDiv w:val="1"/>
      <w:marLeft w:val="0"/>
      <w:marRight w:val="0"/>
      <w:marTop w:val="0"/>
      <w:marBottom w:val="0"/>
      <w:divBdr>
        <w:top w:val="none" w:sz="0" w:space="0" w:color="auto"/>
        <w:left w:val="none" w:sz="0" w:space="0" w:color="auto"/>
        <w:bottom w:val="none" w:sz="0" w:space="0" w:color="auto"/>
        <w:right w:val="none" w:sz="0" w:space="0" w:color="auto"/>
      </w:divBdr>
      <w:divsChild>
        <w:div w:id="631987645">
          <w:marLeft w:val="0"/>
          <w:marRight w:val="0"/>
          <w:marTop w:val="0"/>
          <w:marBottom w:val="0"/>
          <w:divBdr>
            <w:top w:val="none" w:sz="0" w:space="0" w:color="auto"/>
            <w:left w:val="none" w:sz="0" w:space="0" w:color="auto"/>
            <w:bottom w:val="none" w:sz="0" w:space="0" w:color="auto"/>
            <w:right w:val="none" w:sz="0" w:space="0" w:color="auto"/>
          </w:divBdr>
        </w:div>
        <w:div w:id="1118834347">
          <w:marLeft w:val="0"/>
          <w:marRight w:val="0"/>
          <w:marTop w:val="0"/>
          <w:marBottom w:val="0"/>
          <w:divBdr>
            <w:top w:val="none" w:sz="0" w:space="0" w:color="auto"/>
            <w:left w:val="none" w:sz="0" w:space="0" w:color="auto"/>
            <w:bottom w:val="none" w:sz="0" w:space="0" w:color="auto"/>
            <w:right w:val="none" w:sz="0" w:space="0" w:color="auto"/>
          </w:divBdr>
        </w:div>
        <w:div w:id="1317303306">
          <w:marLeft w:val="0"/>
          <w:marRight w:val="0"/>
          <w:marTop w:val="0"/>
          <w:marBottom w:val="0"/>
          <w:divBdr>
            <w:top w:val="none" w:sz="0" w:space="0" w:color="000000"/>
            <w:left w:val="none" w:sz="0" w:space="0" w:color="000000"/>
            <w:bottom w:val="none" w:sz="0" w:space="0" w:color="000000"/>
            <w:right w:val="none" w:sz="0" w:space="0" w:color="000000"/>
          </w:divBdr>
        </w:div>
        <w:div w:id="1539782965">
          <w:marLeft w:val="0"/>
          <w:marRight w:val="0"/>
          <w:marTop w:val="0"/>
          <w:marBottom w:val="0"/>
          <w:divBdr>
            <w:top w:val="none" w:sz="0" w:space="0" w:color="000000"/>
            <w:left w:val="none" w:sz="0" w:space="0" w:color="000000"/>
            <w:bottom w:val="none" w:sz="0" w:space="0" w:color="000000"/>
            <w:right w:val="none" w:sz="0" w:space="0" w:color="000000"/>
          </w:divBdr>
        </w:div>
        <w:div w:id="797334735">
          <w:marLeft w:val="0"/>
          <w:marRight w:val="0"/>
          <w:marTop w:val="0"/>
          <w:marBottom w:val="0"/>
          <w:divBdr>
            <w:top w:val="none" w:sz="0" w:space="0" w:color="000000"/>
            <w:left w:val="none" w:sz="0" w:space="0" w:color="000000"/>
            <w:bottom w:val="none" w:sz="0" w:space="0" w:color="000000"/>
            <w:right w:val="none" w:sz="0" w:space="0" w:color="000000"/>
          </w:divBdr>
        </w:div>
        <w:div w:id="73750274">
          <w:marLeft w:val="0"/>
          <w:marRight w:val="0"/>
          <w:marTop w:val="0"/>
          <w:marBottom w:val="0"/>
          <w:divBdr>
            <w:top w:val="none" w:sz="0" w:space="0" w:color="000000"/>
            <w:left w:val="none" w:sz="0" w:space="0" w:color="000000"/>
            <w:bottom w:val="none" w:sz="0" w:space="0" w:color="000000"/>
            <w:right w:val="none" w:sz="0" w:space="0" w:color="000000"/>
          </w:divBdr>
        </w:div>
        <w:div w:id="231816651">
          <w:marLeft w:val="0"/>
          <w:marRight w:val="0"/>
          <w:marTop w:val="0"/>
          <w:marBottom w:val="0"/>
          <w:divBdr>
            <w:top w:val="none" w:sz="0" w:space="0" w:color="auto"/>
            <w:left w:val="none" w:sz="0" w:space="0" w:color="auto"/>
            <w:bottom w:val="none" w:sz="0" w:space="0" w:color="auto"/>
            <w:right w:val="none" w:sz="0" w:space="0" w:color="auto"/>
          </w:divBdr>
        </w:div>
        <w:div w:id="804196518">
          <w:marLeft w:val="0"/>
          <w:marRight w:val="0"/>
          <w:marTop w:val="0"/>
          <w:marBottom w:val="0"/>
          <w:divBdr>
            <w:top w:val="none" w:sz="0" w:space="0" w:color="auto"/>
            <w:left w:val="none" w:sz="0" w:space="0" w:color="auto"/>
            <w:bottom w:val="none" w:sz="0" w:space="0" w:color="auto"/>
            <w:right w:val="none" w:sz="0" w:space="0" w:color="auto"/>
          </w:divBdr>
        </w:div>
        <w:div w:id="799879457">
          <w:marLeft w:val="0"/>
          <w:marRight w:val="0"/>
          <w:marTop w:val="0"/>
          <w:marBottom w:val="0"/>
          <w:divBdr>
            <w:top w:val="none" w:sz="0" w:space="0" w:color="auto"/>
            <w:left w:val="none" w:sz="0" w:space="0" w:color="auto"/>
            <w:bottom w:val="none" w:sz="0" w:space="0" w:color="auto"/>
            <w:right w:val="none" w:sz="0" w:space="0" w:color="auto"/>
          </w:divBdr>
        </w:div>
        <w:div w:id="299959734">
          <w:marLeft w:val="0"/>
          <w:marRight w:val="0"/>
          <w:marTop w:val="0"/>
          <w:marBottom w:val="0"/>
          <w:divBdr>
            <w:top w:val="none" w:sz="0" w:space="0" w:color="auto"/>
            <w:left w:val="none" w:sz="0" w:space="0" w:color="auto"/>
            <w:bottom w:val="none" w:sz="0" w:space="0" w:color="auto"/>
            <w:right w:val="none" w:sz="0" w:space="0" w:color="auto"/>
          </w:divBdr>
          <w:divsChild>
            <w:div w:id="1279220606">
              <w:marLeft w:val="0"/>
              <w:marRight w:val="0"/>
              <w:marTop w:val="0"/>
              <w:marBottom w:val="0"/>
              <w:divBdr>
                <w:top w:val="none" w:sz="0" w:space="0" w:color="auto"/>
                <w:left w:val="none" w:sz="0" w:space="0" w:color="auto"/>
                <w:bottom w:val="none" w:sz="0" w:space="0" w:color="auto"/>
                <w:right w:val="none" w:sz="0" w:space="0" w:color="auto"/>
              </w:divBdr>
            </w:div>
          </w:divsChild>
        </w:div>
        <w:div w:id="313145488">
          <w:marLeft w:val="0"/>
          <w:marRight w:val="0"/>
          <w:marTop w:val="0"/>
          <w:marBottom w:val="0"/>
          <w:divBdr>
            <w:top w:val="none" w:sz="0" w:space="0" w:color="auto"/>
            <w:left w:val="none" w:sz="0" w:space="0" w:color="auto"/>
            <w:bottom w:val="none" w:sz="0" w:space="0" w:color="auto"/>
            <w:right w:val="none" w:sz="0" w:space="0" w:color="auto"/>
          </w:divBdr>
        </w:div>
        <w:div w:id="1937245389">
          <w:marLeft w:val="0"/>
          <w:marRight w:val="0"/>
          <w:marTop w:val="0"/>
          <w:marBottom w:val="0"/>
          <w:divBdr>
            <w:top w:val="none" w:sz="0" w:space="0" w:color="auto"/>
            <w:left w:val="none" w:sz="0" w:space="0" w:color="auto"/>
            <w:bottom w:val="none" w:sz="0" w:space="0" w:color="auto"/>
            <w:right w:val="none" w:sz="0" w:space="0" w:color="auto"/>
          </w:divBdr>
        </w:div>
        <w:div w:id="1180852338">
          <w:marLeft w:val="0"/>
          <w:marRight w:val="0"/>
          <w:marTop w:val="0"/>
          <w:marBottom w:val="0"/>
          <w:divBdr>
            <w:top w:val="none" w:sz="0" w:space="0" w:color="auto"/>
            <w:left w:val="none" w:sz="0" w:space="0" w:color="auto"/>
            <w:bottom w:val="none" w:sz="0" w:space="0" w:color="auto"/>
            <w:right w:val="none" w:sz="0" w:space="0" w:color="auto"/>
          </w:divBdr>
        </w:div>
        <w:div w:id="1277711335">
          <w:marLeft w:val="0"/>
          <w:marRight w:val="0"/>
          <w:marTop w:val="0"/>
          <w:marBottom w:val="0"/>
          <w:divBdr>
            <w:top w:val="none" w:sz="0" w:space="0" w:color="auto"/>
            <w:left w:val="none" w:sz="0" w:space="0" w:color="auto"/>
            <w:bottom w:val="none" w:sz="0" w:space="0" w:color="auto"/>
            <w:right w:val="none" w:sz="0" w:space="0" w:color="auto"/>
          </w:divBdr>
          <w:divsChild>
            <w:div w:id="3168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6837">
      <w:bodyDiv w:val="1"/>
      <w:marLeft w:val="0"/>
      <w:marRight w:val="0"/>
      <w:marTop w:val="0"/>
      <w:marBottom w:val="0"/>
      <w:divBdr>
        <w:top w:val="none" w:sz="0" w:space="0" w:color="auto"/>
        <w:left w:val="none" w:sz="0" w:space="0" w:color="auto"/>
        <w:bottom w:val="none" w:sz="0" w:space="0" w:color="auto"/>
        <w:right w:val="none" w:sz="0" w:space="0" w:color="auto"/>
      </w:divBdr>
      <w:divsChild>
        <w:div w:id="628898116">
          <w:marLeft w:val="0"/>
          <w:marRight w:val="0"/>
          <w:marTop w:val="0"/>
          <w:marBottom w:val="0"/>
          <w:divBdr>
            <w:top w:val="none" w:sz="0" w:space="0" w:color="auto"/>
            <w:left w:val="none" w:sz="0" w:space="0" w:color="auto"/>
            <w:bottom w:val="none" w:sz="0" w:space="0" w:color="auto"/>
            <w:right w:val="none" w:sz="0" w:space="0" w:color="auto"/>
          </w:divBdr>
          <w:divsChild>
            <w:div w:id="1842622275">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8fxzvh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kff.org/health-costs/issue-brief/what-we-know-about-provider-consolidation/" TargetMode="External"/><Relationship Id="rId7" Type="http://schemas.openxmlformats.org/officeDocument/2006/relationships/hyperlink" Target="https://healthlaw.org/wp-content/uploads/2023/03/This-Data-Not-That-Data_Disability-Rights-Education-and-Defense-Fund_FINAL.pdf" TargetMode="External"/><Relationship Id="rId2" Type="http://schemas.openxmlformats.org/officeDocument/2006/relationships/hyperlink" Target="https://www.obesity.org/wp-content/uploads/2019/04/Jastreboff_et_al-2019-Obesity.pdf" TargetMode="External"/><Relationship Id="rId1" Type="http://schemas.openxmlformats.org/officeDocument/2006/relationships/hyperlink" Target="https://policysearch.ama-assn.org/policyfinder/detail/obesity?uri=%2FAMADoc%2FHOD.xml-0-3858.xml" TargetMode="External"/><Relationship Id="rId6" Type="http://schemas.openxmlformats.org/officeDocument/2006/relationships/hyperlink" Target="https://www.wired.com/story/opioid-drug-addiction-algorithm-chronic-pain/" TargetMode="External"/><Relationship Id="rId5" Type="http://schemas.openxmlformats.org/officeDocument/2006/relationships/hyperlink" Target="https://www.epa.gov/laws-regulations/summary-national-technology-transfer-and-advancement-act" TargetMode="External"/><Relationship Id="rId4" Type="http://schemas.openxmlformats.org/officeDocument/2006/relationships/hyperlink" Target="https://www.whitehouse.gov/wp-content/uploads/2020/07/revised_circular_a-119_as_of_1_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AE63-ACF1-48E1-8DFC-5E4595CD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15</Pages>
  <Words>5514</Words>
  <Characters>31431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 Douglas</dc:creator>
  <cp:keywords/>
  <dc:description/>
  <cp:lastModifiedBy>Silvia Yee</cp:lastModifiedBy>
  <cp:revision>340</cp:revision>
  <dcterms:created xsi:type="dcterms:W3CDTF">2023-11-13T18:02:00Z</dcterms:created>
  <dcterms:modified xsi:type="dcterms:W3CDTF">2023-11-14T04:38:00Z</dcterms:modified>
</cp:coreProperties>
</file>