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238AF" w14:textId="22F85F68" w:rsidR="009D3BED" w:rsidRDefault="00E95C1C" w:rsidP="009D3BED">
      <w:pPr>
        <w:spacing w:before="0" w:after="0"/>
        <w:sectPr w:rsidR="009D3BED" w:rsidSect="009D3BED">
          <w:footerReference w:type="default" r:id="rId8"/>
          <w:pgSz w:w="12240" w:h="15840"/>
          <w:pgMar w:top="0" w:right="0" w:bottom="0" w:left="0" w:header="720" w:footer="720" w:gutter="0"/>
          <w:pgNumType w:start="1"/>
          <w:cols w:space="720"/>
        </w:sectPr>
      </w:pPr>
      <w:r>
        <w:rPr>
          <w:noProof/>
          <w14:ligatures w14:val="standardContextual"/>
        </w:rPr>
        <w:drawing>
          <wp:inline distT="0" distB="0" distL="0" distR="0" wp14:anchorId="333DBDB7" wp14:editId="12C4CD10">
            <wp:extent cx="7759700" cy="10045700"/>
            <wp:effectExtent l="0" t="0" r="0" b="0"/>
            <wp:docPr id="1556375806" name="Picture 2" descr="Cover page with the title “Legal Advocacy for Unhoused People with Disabilities: A Toolkit to Challenge California Laws Criminalizing Homelessness” with decorative imagery of lady justice, a wheelchair user, hand holding, and a house being crushed by a palm. The DREDF logo and the date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75806" name="Picture 2" descr="Cover page with the title “Legal Advocacy for Unhoused People with Disabilities: A Toolkit to Challenge California Laws Criminalizing Homelessness” with decorative imagery of lady justice, a wheelchair user, hand holding, and a house being crushed by a palm. The DREDF logo and the date January 2025."/>
                    <pic:cNvPicPr/>
                  </pic:nvPicPr>
                  <pic:blipFill>
                    <a:blip r:embed="rId9">
                      <a:extLst>
                        <a:ext uri="{28A0092B-C50C-407E-A947-70E740481C1C}">
                          <a14:useLocalDpi xmlns:a14="http://schemas.microsoft.com/office/drawing/2010/main" val="0"/>
                        </a:ext>
                      </a:extLst>
                    </a:blip>
                    <a:stretch>
                      <a:fillRect/>
                    </a:stretch>
                  </pic:blipFill>
                  <pic:spPr>
                    <a:xfrm>
                      <a:off x="0" y="0"/>
                      <a:ext cx="7759700" cy="10045700"/>
                    </a:xfrm>
                    <a:prstGeom prst="rect">
                      <a:avLst/>
                    </a:prstGeom>
                  </pic:spPr>
                </pic:pic>
              </a:graphicData>
            </a:graphic>
          </wp:inline>
        </w:drawing>
      </w:r>
    </w:p>
    <w:p w14:paraId="78ED6A35" w14:textId="76F4CE45" w:rsidR="00E16C56" w:rsidRDefault="00E16C56" w:rsidP="006E236A"/>
    <w:p w14:paraId="33BEBC89" w14:textId="77777777" w:rsidR="00787F7B" w:rsidRPr="00D04E7B" w:rsidRDefault="00787F7B" w:rsidP="006E236A"/>
    <w:p w14:paraId="6657BD0A" w14:textId="77777777" w:rsidR="002504A2" w:rsidRPr="00D04E7B" w:rsidRDefault="002504A2" w:rsidP="006E236A"/>
    <w:p w14:paraId="1C02310E" w14:textId="77777777" w:rsidR="00E16C56" w:rsidRPr="00D04E7B" w:rsidRDefault="00E16C56" w:rsidP="006E236A"/>
    <w:p w14:paraId="4D2B956C" w14:textId="77777777" w:rsidR="00E16C56" w:rsidRPr="00D04E7B" w:rsidRDefault="00E16C56" w:rsidP="006E236A"/>
    <w:p w14:paraId="651156A5" w14:textId="77777777" w:rsidR="00EF60AC" w:rsidRPr="00D04E7B" w:rsidRDefault="00EF60AC" w:rsidP="006E236A"/>
    <w:p w14:paraId="5DDA4A86" w14:textId="77777777" w:rsidR="00EF60AC" w:rsidRPr="00D04E7B" w:rsidRDefault="00EF60AC" w:rsidP="006E236A"/>
    <w:p w14:paraId="6A799894" w14:textId="77777777" w:rsidR="00EF60AC" w:rsidRPr="00D04E7B" w:rsidRDefault="00EF60AC" w:rsidP="006E236A"/>
    <w:p w14:paraId="045D1C4C" w14:textId="77777777" w:rsidR="00E16C56" w:rsidRPr="00D04E7B" w:rsidRDefault="00E16C56" w:rsidP="006E236A"/>
    <w:p w14:paraId="5618CDDB" w14:textId="77777777" w:rsidR="00651142" w:rsidRDefault="00651142" w:rsidP="00651142">
      <w:pPr>
        <w:spacing w:before="0" w:line="276" w:lineRule="auto"/>
        <w:rPr>
          <w:rFonts w:eastAsia="Arial" w:cs="Arial"/>
          <w:lang w:val="en"/>
        </w:rPr>
      </w:pPr>
    </w:p>
    <w:p w14:paraId="7CFF8225" w14:textId="77777777" w:rsidR="004E368F" w:rsidRPr="00651142" w:rsidRDefault="004E368F" w:rsidP="00651142">
      <w:pPr>
        <w:spacing w:before="0" w:line="276" w:lineRule="auto"/>
        <w:rPr>
          <w:rFonts w:eastAsia="Arial" w:cs="Arial"/>
          <w:lang w:val="en"/>
        </w:rPr>
      </w:pPr>
    </w:p>
    <w:p w14:paraId="109E2513" w14:textId="77777777" w:rsidR="00651142" w:rsidRPr="00651142" w:rsidRDefault="00651142" w:rsidP="00651142">
      <w:pPr>
        <w:spacing w:before="0" w:line="276" w:lineRule="auto"/>
        <w:rPr>
          <w:rFonts w:eastAsia="Arial" w:cs="Arial"/>
          <w:lang w:val="en"/>
        </w:rPr>
      </w:pPr>
      <w:r w:rsidRPr="00651142">
        <w:rPr>
          <w:rFonts w:eastAsia="Arial" w:cs="Arial"/>
          <w:noProof/>
          <w:lang w:val="en"/>
          <w14:ligatures w14:val="standardContextual"/>
        </w:rPr>
        <w:drawing>
          <wp:anchor distT="0" distB="0" distL="114300" distR="114300" simplePos="0" relativeHeight="251660288" behindDoc="0" locked="0" layoutInCell="1" allowOverlap="1" wp14:anchorId="116AE998" wp14:editId="4D903799">
            <wp:simplePos x="0" y="0"/>
            <wp:positionH relativeFrom="column">
              <wp:posOffset>-145</wp:posOffset>
            </wp:positionH>
            <wp:positionV relativeFrom="paragraph">
              <wp:posOffset>323850</wp:posOffset>
            </wp:positionV>
            <wp:extent cx="1210310" cy="564515"/>
            <wp:effectExtent l="0" t="0" r="0" b="0"/>
            <wp:wrapSquare wrapText="bothSides"/>
            <wp:docPr id="1939582430" name="Picture 1" descr="D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82430" name="Picture 1" descr="DREDF logo"/>
                    <pic:cNvPicPr/>
                  </pic:nvPicPr>
                  <pic:blipFill>
                    <a:blip r:embed="rId10">
                      <a:extLst>
                        <a:ext uri="{28A0092B-C50C-407E-A947-70E740481C1C}">
                          <a14:useLocalDpi xmlns:a14="http://schemas.microsoft.com/office/drawing/2010/main" val="0"/>
                        </a:ext>
                      </a:extLst>
                    </a:blip>
                    <a:stretch>
                      <a:fillRect/>
                    </a:stretch>
                  </pic:blipFill>
                  <pic:spPr>
                    <a:xfrm>
                      <a:off x="0" y="0"/>
                      <a:ext cx="1210310" cy="564515"/>
                    </a:xfrm>
                    <a:prstGeom prst="rect">
                      <a:avLst/>
                    </a:prstGeom>
                  </pic:spPr>
                </pic:pic>
              </a:graphicData>
            </a:graphic>
            <wp14:sizeRelH relativeFrom="margin">
              <wp14:pctWidth>0</wp14:pctWidth>
            </wp14:sizeRelH>
            <wp14:sizeRelV relativeFrom="margin">
              <wp14:pctHeight>0</wp14:pctHeight>
            </wp14:sizeRelV>
          </wp:anchor>
        </w:drawing>
      </w:r>
      <w:r w:rsidRPr="00651142">
        <w:rPr>
          <w:rFonts w:eastAsia="Arial" w:cs="Arial"/>
          <w:lang w:val="en"/>
        </w:rPr>
        <w:br w:type="textWrapping" w:clear="all"/>
      </w:r>
    </w:p>
    <w:p w14:paraId="1E010D91" w14:textId="77777777" w:rsidR="00651142" w:rsidRPr="00651142" w:rsidRDefault="00651142" w:rsidP="00651142">
      <w:pPr>
        <w:spacing w:before="0" w:line="276" w:lineRule="auto"/>
        <w:rPr>
          <w:rFonts w:eastAsia="Arial" w:cs="Arial"/>
          <w:lang w:val="en"/>
        </w:rPr>
      </w:pPr>
    </w:p>
    <w:p w14:paraId="297227FA" w14:textId="77777777" w:rsidR="00651142" w:rsidRPr="00651142" w:rsidRDefault="00651142" w:rsidP="00651142">
      <w:pPr>
        <w:spacing w:before="0" w:line="276" w:lineRule="auto"/>
        <w:rPr>
          <w:rFonts w:eastAsia="Arial" w:cs="Arial"/>
          <w:lang w:val="en"/>
        </w:rPr>
      </w:pPr>
    </w:p>
    <w:p w14:paraId="1B74736B" w14:textId="77777777" w:rsidR="00651142" w:rsidRPr="00651142" w:rsidRDefault="00651142" w:rsidP="00651142">
      <w:pPr>
        <w:spacing w:before="0" w:line="276" w:lineRule="auto"/>
        <w:rPr>
          <w:rFonts w:ascii="Myriad Pro Cond" w:eastAsia="Arial" w:hAnsi="Myriad Pro Cond" w:cs="Arial"/>
          <w:sz w:val="32"/>
          <w:szCs w:val="32"/>
          <w:lang w:val="en"/>
        </w:rPr>
      </w:pPr>
      <w:r w:rsidRPr="00651142">
        <w:rPr>
          <w:rFonts w:ascii="Myriad Pro Cond" w:eastAsia="Arial" w:hAnsi="Myriad Pro Cond" w:cs="Arial"/>
          <w:sz w:val="32"/>
          <w:szCs w:val="32"/>
          <w:lang w:val="en"/>
        </w:rPr>
        <w:t>Disability Rights Education and Defense Fund (DREDF) is a leading national civil rights law and policy center directed by individuals with disabilities and parents who have children with disabilities. Founded in 1979, DREDF works to advance the civil and human rights of people with disabilities through legal advocacy, training, education, and public policy and legislative development.</w:t>
      </w:r>
    </w:p>
    <w:p w14:paraId="41105318" w14:textId="77777777" w:rsidR="00651142" w:rsidRDefault="00651142" w:rsidP="00651142">
      <w:pPr>
        <w:spacing w:before="0" w:line="276" w:lineRule="auto"/>
        <w:rPr>
          <w:rFonts w:ascii="Myriad Pro Cond" w:eastAsia="Arial" w:hAnsi="Myriad Pro Cond" w:cs="MyriadPro-BoldCond"/>
          <w:spacing w:val="6"/>
          <w:sz w:val="27"/>
          <w:szCs w:val="27"/>
          <w:lang w:val="en"/>
        </w:rPr>
      </w:pPr>
      <w:r w:rsidRPr="00651142">
        <w:rPr>
          <w:rFonts w:ascii="Myriad Pro Cond" w:eastAsia="Arial" w:hAnsi="Myriad Pro Cond" w:cs="Myriad Pro Cond"/>
          <w:spacing w:val="14"/>
          <w:sz w:val="27"/>
          <w:szCs w:val="27"/>
          <w:lang w:val="en"/>
        </w:rPr>
        <w:t xml:space="preserve">3075 Adeline Street, Suite 210 </w:t>
      </w:r>
      <w:r w:rsidRPr="00651142">
        <w:rPr>
          <w:rFonts w:ascii="Myriad Pro Cond" w:eastAsia="Arial" w:hAnsi="Myriad Pro Cond" w:cs="Myriad Pro Cond"/>
          <w:spacing w:val="14"/>
          <w:sz w:val="27"/>
          <w:szCs w:val="27"/>
          <w:lang w:val="en"/>
        </w:rPr>
        <w:softHyphen/>
      </w:r>
      <w:r w:rsidRPr="00651142">
        <w:rPr>
          <w:rFonts w:ascii="Myriad Pro Cond" w:eastAsia="Arial" w:hAnsi="Myriad Pro Cond" w:cs="Myriad Pro Cond"/>
          <w:spacing w:val="14"/>
          <w:sz w:val="27"/>
          <w:szCs w:val="27"/>
          <w:lang w:val="en"/>
        </w:rPr>
        <w:softHyphen/>
      </w:r>
      <w:r w:rsidRPr="00651142">
        <w:rPr>
          <w:rFonts w:ascii="Myriad Pro Cond" w:eastAsia="Arial" w:hAnsi="Myriad Pro Cond" w:cs="Myriad Pro Cond"/>
          <w:spacing w:val="14"/>
          <w:sz w:val="27"/>
          <w:szCs w:val="27"/>
          <w:lang w:val="en"/>
        </w:rPr>
        <w:softHyphen/>
      </w:r>
      <w:r w:rsidRPr="00651142">
        <w:rPr>
          <w:rFonts w:ascii="Myriad Pro Cond" w:eastAsia="Arial" w:hAnsi="Myriad Pro Cond" w:cs="Myriad Pro Cond"/>
          <w:color w:val="CB0724"/>
          <w:spacing w:val="14"/>
          <w:sz w:val="27"/>
          <w:szCs w:val="27"/>
          <w:lang w:val="en"/>
        </w:rPr>
        <w:t xml:space="preserve">• </w:t>
      </w:r>
      <w:r w:rsidRPr="00651142">
        <w:rPr>
          <w:rFonts w:ascii="Myriad Pro Cond" w:eastAsia="Arial" w:hAnsi="Myriad Pro Cond" w:cs="Myriad Pro Cond"/>
          <w:spacing w:val="14"/>
          <w:sz w:val="27"/>
          <w:szCs w:val="27"/>
          <w:lang w:val="en"/>
        </w:rPr>
        <w:t>Berkeley, CA 94703</w:t>
      </w:r>
      <w:r w:rsidRPr="00651142">
        <w:rPr>
          <w:rFonts w:ascii="Myriad Pro Cond" w:eastAsia="Arial" w:hAnsi="Myriad Pro Cond" w:cs="Myriad Pro Cond"/>
          <w:spacing w:val="14"/>
          <w:sz w:val="27"/>
          <w:szCs w:val="27"/>
          <w:lang w:val="en"/>
        </w:rPr>
        <w:br/>
        <w:t xml:space="preserve">510.644.2555 </w:t>
      </w:r>
      <w:r w:rsidRPr="00651142">
        <w:rPr>
          <w:rFonts w:ascii="Myriad Pro Cond" w:eastAsia="Arial" w:hAnsi="Myriad Pro Cond" w:cs="Myriad Pro Cond"/>
          <w:color w:val="CB0724"/>
          <w:spacing w:val="14"/>
          <w:sz w:val="27"/>
          <w:szCs w:val="27"/>
          <w:lang w:val="en"/>
        </w:rPr>
        <w:t xml:space="preserve">• </w:t>
      </w:r>
      <w:r w:rsidRPr="00651142">
        <w:rPr>
          <w:rFonts w:ascii="Myriad Pro Cond" w:eastAsia="Arial" w:hAnsi="Myriad Pro Cond" w:cs="Myriad Pro Cond"/>
          <w:spacing w:val="14"/>
          <w:sz w:val="27"/>
          <w:szCs w:val="27"/>
          <w:lang w:val="en"/>
        </w:rPr>
        <w:t>www.dredf.org</w:t>
      </w:r>
      <w:r w:rsidRPr="00651142">
        <w:rPr>
          <w:rFonts w:ascii="Myriad Pro Cond" w:eastAsia="Arial" w:hAnsi="Myriad Pro Cond" w:cs="Arial"/>
          <w:sz w:val="28"/>
          <w:szCs w:val="28"/>
          <w:lang w:val="en"/>
        </w:rPr>
        <w:br/>
      </w:r>
      <w:r w:rsidRPr="00651142">
        <w:rPr>
          <w:rFonts w:ascii="Myriad Pro Cond" w:eastAsia="Arial" w:hAnsi="Myriad Pro Cond" w:cs="MyriadPro-BoldCond"/>
          <w:iCs/>
          <w:color w:val="CB2500"/>
          <w:spacing w:val="4"/>
          <w:sz w:val="28"/>
          <w:szCs w:val="28"/>
          <w:lang w:val="en"/>
        </w:rPr>
        <w:t>Government Affairs:</w:t>
      </w:r>
      <w:r w:rsidRPr="00651142">
        <w:rPr>
          <w:rFonts w:ascii="Myriad Pro Cond" w:eastAsia="Arial" w:hAnsi="Myriad Pro Cond" w:cs="MyriadPro-BoldCond"/>
          <w:iCs/>
          <w:color w:val="CB0724"/>
          <w:spacing w:val="4"/>
          <w:sz w:val="28"/>
          <w:szCs w:val="28"/>
          <w:lang w:val="en"/>
        </w:rPr>
        <w:t xml:space="preserve">  </w:t>
      </w:r>
      <w:r w:rsidRPr="00651142">
        <w:rPr>
          <w:rFonts w:ascii="Myriad Pro Cond" w:eastAsia="Arial" w:hAnsi="Myriad Pro Cond" w:cs="MyriadPro-BoldCond"/>
          <w:iCs/>
          <w:color w:val="000000"/>
          <w:spacing w:val="4"/>
          <w:sz w:val="27"/>
          <w:szCs w:val="27"/>
          <w:lang w:val="en"/>
        </w:rPr>
        <w:t xml:space="preserve">Washington D.C.  </w:t>
      </w:r>
      <w:r w:rsidRPr="00651142">
        <w:rPr>
          <w:rFonts w:ascii="Myriad Pro Cond" w:eastAsia="Arial" w:hAnsi="Myriad Pro Cond" w:cs="MyriadPro-BoldCond"/>
          <w:color w:val="CB0724"/>
          <w:spacing w:val="6"/>
          <w:sz w:val="27"/>
          <w:szCs w:val="27"/>
          <w:lang w:val="en"/>
        </w:rPr>
        <w:t>•</w:t>
      </w:r>
      <w:r w:rsidRPr="00651142">
        <w:rPr>
          <w:rFonts w:ascii="Myriad Pro Cond" w:eastAsia="Arial" w:hAnsi="Myriad Pro Cond" w:cs="MyriadPro-BoldCond"/>
          <w:spacing w:val="6"/>
          <w:sz w:val="27"/>
          <w:szCs w:val="27"/>
          <w:lang w:val="en"/>
        </w:rPr>
        <w:t xml:space="preserve">  800.348.4232</w:t>
      </w:r>
    </w:p>
    <w:p w14:paraId="6EC14FE8" w14:textId="77777777" w:rsidR="00651142" w:rsidRDefault="00651142" w:rsidP="00651142">
      <w:pPr>
        <w:spacing w:before="0" w:line="276" w:lineRule="auto"/>
        <w:rPr>
          <w:rFonts w:ascii="Myriad Pro Cond" w:eastAsia="Arial" w:hAnsi="Myriad Pro Cond" w:cs="MyriadPro-BoldCond"/>
          <w:spacing w:val="6"/>
          <w:sz w:val="27"/>
          <w:szCs w:val="27"/>
          <w:lang w:val="en"/>
        </w:rPr>
      </w:pPr>
    </w:p>
    <w:p w14:paraId="0991FC2B" w14:textId="77777777" w:rsidR="009D3BED" w:rsidRDefault="009D3BED" w:rsidP="00651142">
      <w:pPr>
        <w:spacing w:before="0" w:line="276" w:lineRule="auto"/>
        <w:rPr>
          <w:rFonts w:ascii="Myriad Pro Cond" w:eastAsia="Arial" w:hAnsi="Myriad Pro Cond" w:cs="MyriadPro-BoldCond"/>
          <w:spacing w:val="6"/>
          <w:sz w:val="27"/>
          <w:szCs w:val="27"/>
          <w:lang w:val="en"/>
        </w:rPr>
      </w:pPr>
    </w:p>
    <w:p w14:paraId="2EAED89C" w14:textId="77777777" w:rsidR="00651142" w:rsidRDefault="00651142" w:rsidP="00651142">
      <w:pPr>
        <w:spacing w:before="0" w:line="276" w:lineRule="auto"/>
        <w:rPr>
          <w:rFonts w:ascii="Myriad Pro Cond" w:eastAsia="Arial" w:hAnsi="Myriad Pro Cond" w:cs="MyriadPro-BoldCond"/>
          <w:spacing w:val="6"/>
          <w:sz w:val="27"/>
          <w:szCs w:val="27"/>
          <w:lang w:val="en"/>
        </w:rPr>
      </w:pPr>
    </w:p>
    <w:p w14:paraId="31C67157" w14:textId="795F7383" w:rsidR="009D3BED" w:rsidRPr="00A11827" w:rsidRDefault="00B4126D" w:rsidP="00651142">
      <w:pPr>
        <w:spacing w:line="240" w:lineRule="auto"/>
        <w:rPr>
          <w:rFonts w:ascii="Myriad Pro Light Cond" w:hAnsi="Myriad Pro Light Cond"/>
          <w:b/>
          <w:bCs/>
          <w:sz w:val="72"/>
          <w:szCs w:val="72"/>
        </w:rPr>
      </w:pPr>
      <w:r w:rsidRPr="00A11827">
        <w:rPr>
          <w:rFonts w:ascii="Myriad Pro Light Cond" w:hAnsi="Myriad Pro Light Cond"/>
          <w:b/>
          <w:bCs/>
          <w:sz w:val="72"/>
          <w:szCs w:val="72"/>
        </w:rPr>
        <w:t xml:space="preserve">Legal Advocacy for </w:t>
      </w:r>
      <w:r w:rsidR="00A11827">
        <w:rPr>
          <w:rFonts w:ascii="Myriad Pro Light Cond" w:hAnsi="Myriad Pro Light Cond"/>
          <w:b/>
          <w:bCs/>
          <w:sz w:val="72"/>
          <w:szCs w:val="72"/>
        </w:rPr>
        <w:br/>
      </w:r>
      <w:r w:rsidRPr="00A11827">
        <w:rPr>
          <w:rFonts w:ascii="Myriad Pro Light Cond" w:hAnsi="Myriad Pro Light Cond"/>
          <w:b/>
          <w:bCs/>
          <w:sz w:val="72"/>
          <w:szCs w:val="72"/>
        </w:rPr>
        <w:t>Unhoused People with Disabilities</w:t>
      </w:r>
    </w:p>
    <w:p w14:paraId="3F811B7F" w14:textId="6DC450B9" w:rsidR="009D3BED" w:rsidRPr="00B4126D" w:rsidRDefault="00B4126D" w:rsidP="009D3BED">
      <w:pPr>
        <w:spacing w:before="0" w:after="0" w:line="240" w:lineRule="auto"/>
        <w:rPr>
          <w:rFonts w:ascii="Myriad Pro Cond" w:hAnsi="Myriad Pro Cond"/>
          <w:sz w:val="40"/>
          <w:szCs w:val="32"/>
        </w:rPr>
      </w:pPr>
      <w:r w:rsidRPr="00B4126D">
        <w:rPr>
          <w:rFonts w:ascii="Myriad Pro Light Cond" w:hAnsi="Myriad Pro Light Cond"/>
          <w:b/>
          <w:bCs/>
          <w:sz w:val="52"/>
          <w:szCs w:val="52"/>
        </w:rPr>
        <w:t xml:space="preserve">Toolkit to Challenge California Laws </w:t>
      </w:r>
      <w:r w:rsidR="00A11827">
        <w:rPr>
          <w:rFonts w:ascii="Myriad Pro Light Cond" w:hAnsi="Myriad Pro Light Cond"/>
          <w:b/>
          <w:bCs/>
          <w:sz w:val="52"/>
          <w:szCs w:val="52"/>
        </w:rPr>
        <w:br/>
      </w:r>
      <w:r w:rsidRPr="00B4126D">
        <w:rPr>
          <w:rFonts w:ascii="Myriad Pro Light Cond" w:hAnsi="Myriad Pro Light Cond"/>
          <w:b/>
          <w:bCs/>
          <w:sz w:val="52"/>
          <w:szCs w:val="52"/>
        </w:rPr>
        <w:t>Criminalizing Homelessness</w:t>
      </w:r>
    </w:p>
    <w:p w14:paraId="03DF784A" w14:textId="77777777" w:rsidR="00413451" w:rsidRDefault="00413451" w:rsidP="009D3BED">
      <w:pPr>
        <w:spacing w:before="0" w:after="0" w:line="240" w:lineRule="auto"/>
        <w:rPr>
          <w:rFonts w:ascii="Myriad Pro Cond" w:hAnsi="Myriad Pro Cond"/>
          <w:sz w:val="44"/>
          <w:szCs w:val="36"/>
        </w:rPr>
      </w:pPr>
    </w:p>
    <w:p w14:paraId="5036FF01" w14:textId="34F3B124" w:rsidR="009D3BED" w:rsidRPr="001B563A" w:rsidRDefault="009D3BED" w:rsidP="009D3BED">
      <w:pPr>
        <w:spacing w:before="0" w:after="0" w:line="240" w:lineRule="auto"/>
        <w:rPr>
          <w:rFonts w:ascii="Myriad Pro Cond" w:hAnsi="Myriad Pro Cond"/>
          <w:sz w:val="44"/>
          <w:szCs w:val="36"/>
        </w:rPr>
      </w:pPr>
      <w:r w:rsidRPr="001B563A">
        <w:rPr>
          <w:rFonts w:ascii="Myriad Pro Cond" w:hAnsi="Myriad Pro Cond"/>
          <w:sz w:val="44"/>
          <w:szCs w:val="36"/>
        </w:rPr>
        <w:t>Disability Rights Education &amp; Defense Fund</w:t>
      </w:r>
    </w:p>
    <w:p w14:paraId="68E1A0CD" w14:textId="47F24363" w:rsidR="009D3BED" w:rsidRDefault="00183606" w:rsidP="009D3BED">
      <w:pPr>
        <w:spacing w:before="0" w:after="0" w:line="240" w:lineRule="auto"/>
        <w:rPr>
          <w:rFonts w:ascii="Myriad Pro Cond" w:hAnsi="Myriad Pro Cond"/>
          <w:sz w:val="44"/>
          <w:szCs w:val="36"/>
        </w:rPr>
      </w:pPr>
      <w:r>
        <w:rPr>
          <w:rFonts w:ascii="Myriad Pro Cond" w:hAnsi="Myriad Pro Cond"/>
          <w:sz w:val="44"/>
          <w:szCs w:val="36"/>
        </w:rPr>
        <w:t>January</w:t>
      </w:r>
      <w:r w:rsidR="009D3BED" w:rsidRPr="001B563A">
        <w:rPr>
          <w:rFonts w:ascii="Myriad Pro Cond" w:hAnsi="Myriad Pro Cond"/>
          <w:sz w:val="44"/>
          <w:szCs w:val="36"/>
        </w:rPr>
        <w:t xml:space="preserve"> 202</w:t>
      </w:r>
      <w:r>
        <w:rPr>
          <w:rFonts w:ascii="Myriad Pro Cond" w:hAnsi="Myriad Pro Cond"/>
          <w:sz w:val="44"/>
          <w:szCs w:val="36"/>
        </w:rPr>
        <w:t>5</w:t>
      </w:r>
    </w:p>
    <w:p w14:paraId="34680521" w14:textId="77777777" w:rsidR="009D3BED" w:rsidRDefault="009D3BED" w:rsidP="009D3BED">
      <w:pPr>
        <w:tabs>
          <w:tab w:val="left" w:pos="3257"/>
        </w:tabs>
        <w:rPr>
          <w:rFonts w:ascii="Myriad Pro Light Cond" w:hAnsi="Myriad Pro Light Cond"/>
          <w:b/>
          <w:bCs/>
          <w:noProof/>
          <w:sz w:val="32"/>
        </w:rPr>
      </w:pPr>
    </w:p>
    <w:p w14:paraId="15998C59" w14:textId="77777777" w:rsidR="009D3BED" w:rsidRDefault="009D3BED" w:rsidP="009D3BED">
      <w:pPr>
        <w:tabs>
          <w:tab w:val="left" w:pos="3257"/>
        </w:tabs>
        <w:rPr>
          <w:rFonts w:ascii="Myriad Pro Light Cond" w:hAnsi="Myriad Pro Light Cond"/>
          <w:b/>
          <w:bCs/>
          <w:noProof/>
          <w:sz w:val="32"/>
        </w:rPr>
      </w:pPr>
    </w:p>
    <w:p w14:paraId="3EA9DF24" w14:textId="3447C8CB" w:rsidR="009D3BED" w:rsidRPr="008B66A0" w:rsidRDefault="009D3BED" w:rsidP="009D3BED">
      <w:pPr>
        <w:tabs>
          <w:tab w:val="left" w:pos="3257"/>
        </w:tabs>
        <w:rPr>
          <w:rFonts w:ascii="Myriad Pro Light Cond" w:hAnsi="Myriad Pro Light Cond"/>
          <w:b/>
          <w:bCs/>
          <w:noProof/>
          <w:sz w:val="36"/>
          <w:szCs w:val="28"/>
        </w:rPr>
        <w:sectPr w:rsidR="009D3BED" w:rsidRPr="008B66A0" w:rsidSect="009D3BED">
          <w:pgSz w:w="12240" w:h="15840"/>
          <w:pgMar w:top="1440" w:right="1440" w:bottom="1440" w:left="1440" w:header="720" w:footer="720" w:gutter="0"/>
          <w:pgNumType w:start="1"/>
          <w:cols w:space="720"/>
        </w:sectPr>
      </w:pPr>
      <w:r w:rsidRPr="008B66A0">
        <w:rPr>
          <w:rFonts w:ascii="Myriad Pro Light Cond" w:hAnsi="Myriad Pro Light Cond"/>
          <w:b/>
          <w:bCs/>
          <w:noProof/>
          <w:sz w:val="36"/>
          <w:szCs w:val="28"/>
        </w:rPr>
        <w:t>An HTML version of this report is available at dredf.o</w:t>
      </w:r>
      <w:r>
        <w:rPr>
          <w:rFonts w:ascii="Myriad Pro Light Cond" w:hAnsi="Myriad Pro Light Cond"/>
          <w:b/>
          <w:bCs/>
          <w:noProof/>
          <w:sz w:val="36"/>
          <w:szCs w:val="28"/>
        </w:rPr>
        <w:t>r</w:t>
      </w:r>
      <w:r w:rsidR="00AE749F">
        <w:rPr>
          <w:rFonts w:ascii="Myriad Pro Light Cond" w:hAnsi="Myriad Pro Light Cond"/>
          <w:b/>
          <w:bCs/>
          <w:noProof/>
          <w:sz w:val="36"/>
          <w:szCs w:val="28"/>
        </w:rPr>
        <w:t>g.</w:t>
      </w:r>
    </w:p>
    <w:p w14:paraId="10191121" w14:textId="075402B2" w:rsidR="00F97636" w:rsidRDefault="00F97636" w:rsidP="00E95C1C">
      <w:pPr>
        <w:pStyle w:val="Heading1"/>
      </w:pPr>
      <w:bookmarkStart w:id="0" w:name="_Toc185261672"/>
      <w:bookmarkStart w:id="1" w:name="_Toc187056497"/>
      <w:r>
        <w:lastRenderedPageBreak/>
        <w:t>Table of Contents</w:t>
      </w:r>
      <w:bookmarkEnd w:id="1"/>
    </w:p>
    <w:p w14:paraId="563FE5DE" w14:textId="11FB4DD8" w:rsidR="004F2B0A" w:rsidRDefault="00F97636" w:rsidP="004F2B0A">
      <w:pPr>
        <w:pStyle w:val="TOC1"/>
        <w:rPr>
          <w:rFonts w:asciiTheme="minorHAnsi" w:eastAsiaTheme="minorEastAsia" w:hAnsiTheme="minorHAnsi" w:cstheme="minorBidi"/>
          <w:noProof/>
          <w:kern w:val="2"/>
          <w14:ligatures w14:val="standardContextual"/>
        </w:rPr>
      </w:pPr>
      <w:r w:rsidRPr="00F97636">
        <w:fldChar w:fldCharType="begin"/>
      </w:r>
      <w:r w:rsidRPr="00F97636">
        <w:instrText xml:space="preserve"> TOC \o "1-3" \h \z \u </w:instrText>
      </w:r>
      <w:r w:rsidRPr="00F97636">
        <w:fldChar w:fldCharType="separate"/>
      </w:r>
      <w:hyperlink w:anchor="_Toc187056497" w:history="1">
        <w:r w:rsidR="004F2B0A" w:rsidRPr="004953C4">
          <w:rPr>
            <w:rStyle w:val="Hyperlink"/>
            <w:noProof/>
          </w:rPr>
          <w:t>Table of Contents</w:t>
        </w:r>
        <w:r w:rsidR="004F2B0A">
          <w:rPr>
            <w:noProof/>
            <w:webHidden/>
          </w:rPr>
          <w:tab/>
        </w:r>
        <w:r w:rsidR="004F2B0A">
          <w:rPr>
            <w:noProof/>
            <w:webHidden/>
          </w:rPr>
          <w:fldChar w:fldCharType="begin"/>
        </w:r>
        <w:r w:rsidR="004F2B0A">
          <w:rPr>
            <w:noProof/>
            <w:webHidden/>
          </w:rPr>
          <w:instrText xml:space="preserve"> PAGEREF _Toc187056497 \h </w:instrText>
        </w:r>
        <w:r w:rsidR="004F2B0A">
          <w:rPr>
            <w:noProof/>
            <w:webHidden/>
          </w:rPr>
        </w:r>
        <w:r w:rsidR="004F2B0A">
          <w:rPr>
            <w:noProof/>
            <w:webHidden/>
          </w:rPr>
          <w:fldChar w:fldCharType="separate"/>
        </w:r>
        <w:r w:rsidR="004F2B0A">
          <w:rPr>
            <w:noProof/>
            <w:webHidden/>
          </w:rPr>
          <w:t>3</w:t>
        </w:r>
        <w:r w:rsidR="004F2B0A">
          <w:rPr>
            <w:noProof/>
            <w:webHidden/>
          </w:rPr>
          <w:fldChar w:fldCharType="end"/>
        </w:r>
      </w:hyperlink>
    </w:p>
    <w:p w14:paraId="6C62648A" w14:textId="5E3DA74A" w:rsidR="004F2B0A" w:rsidRDefault="004F2B0A" w:rsidP="004F2B0A">
      <w:pPr>
        <w:pStyle w:val="TOC1"/>
        <w:rPr>
          <w:rFonts w:asciiTheme="minorHAnsi" w:eastAsiaTheme="minorEastAsia" w:hAnsiTheme="minorHAnsi" w:cstheme="minorBidi"/>
          <w:noProof/>
          <w:kern w:val="2"/>
          <w14:ligatures w14:val="standardContextual"/>
        </w:rPr>
      </w:pPr>
      <w:hyperlink w:anchor="_Toc187056498" w:history="1">
        <w:r w:rsidRPr="004953C4">
          <w:rPr>
            <w:rStyle w:val="Hyperlink"/>
            <w:noProof/>
          </w:rPr>
          <w:t>Introduction</w:t>
        </w:r>
        <w:r>
          <w:rPr>
            <w:noProof/>
            <w:webHidden/>
          </w:rPr>
          <w:tab/>
        </w:r>
        <w:r>
          <w:rPr>
            <w:noProof/>
            <w:webHidden/>
          </w:rPr>
          <w:fldChar w:fldCharType="begin"/>
        </w:r>
        <w:r>
          <w:rPr>
            <w:noProof/>
            <w:webHidden/>
          </w:rPr>
          <w:instrText xml:space="preserve"> PAGEREF _Toc187056498 \h </w:instrText>
        </w:r>
        <w:r>
          <w:rPr>
            <w:noProof/>
            <w:webHidden/>
          </w:rPr>
        </w:r>
        <w:r>
          <w:rPr>
            <w:noProof/>
            <w:webHidden/>
          </w:rPr>
          <w:fldChar w:fldCharType="separate"/>
        </w:r>
        <w:r>
          <w:rPr>
            <w:noProof/>
            <w:webHidden/>
          </w:rPr>
          <w:t>4</w:t>
        </w:r>
        <w:r>
          <w:rPr>
            <w:noProof/>
            <w:webHidden/>
          </w:rPr>
          <w:fldChar w:fldCharType="end"/>
        </w:r>
      </w:hyperlink>
    </w:p>
    <w:p w14:paraId="15B7FBBF" w14:textId="2F318334" w:rsidR="004F2B0A" w:rsidRDefault="004F2B0A" w:rsidP="004F2B0A">
      <w:pPr>
        <w:pStyle w:val="TOC1"/>
        <w:rPr>
          <w:rFonts w:asciiTheme="minorHAnsi" w:eastAsiaTheme="minorEastAsia" w:hAnsiTheme="minorHAnsi" w:cstheme="minorBidi"/>
          <w:noProof/>
          <w:kern w:val="2"/>
          <w14:ligatures w14:val="standardContextual"/>
        </w:rPr>
      </w:pPr>
      <w:hyperlink w:anchor="_Toc187056499" w:history="1">
        <w:r w:rsidRPr="004953C4">
          <w:rPr>
            <w:rStyle w:val="Hyperlink"/>
            <w:noProof/>
          </w:rPr>
          <w:t>Chapter 1: Background</w:t>
        </w:r>
        <w:r>
          <w:rPr>
            <w:noProof/>
            <w:webHidden/>
          </w:rPr>
          <w:tab/>
        </w:r>
        <w:r>
          <w:rPr>
            <w:noProof/>
            <w:webHidden/>
          </w:rPr>
          <w:fldChar w:fldCharType="begin"/>
        </w:r>
        <w:r>
          <w:rPr>
            <w:noProof/>
            <w:webHidden/>
          </w:rPr>
          <w:instrText xml:space="preserve"> PAGEREF _Toc187056499 \h </w:instrText>
        </w:r>
        <w:r>
          <w:rPr>
            <w:noProof/>
            <w:webHidden/>
          </w:rPr>
        </w:r>
        <w:r>
          <w:rPr>
            <w:noProof/>
            <w:webHidden/>
          </w:rPr>
          <w:fldChar w:fldCharType="separate"/>
        </w:r>
        <w:r>
          <w:rPr>
            <w:noProof/>
            <w:webHidden/>
          </w:rPr>
          <w:t>5</w:t>
        </w:r>
        <w:r>
          <w:rPr>
            <w:noProof/>
            <w:webHidden/>
          </w:rPr>
          <w:fldChar w:fldCharType="end"/>
        </w:r>
      </w:hyperlink>
    </w:p>
    <w:p w14:paraId="4E417A5E" w14:textId="3DD94D65"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00" w:history="1">
        <w:r w:rsidRPr="004953C4">
          <w:rPr>
            <w:rStyle w:val="Hyperlink"/>
            <w:noProof/>
          </w:rPr>
          <w:t>Disability and Homelessness</w:t>
        </w:r>
        <w:r>
          <w:rPr>
            <w:noProof/>
            <w:webHidden/>
          </w:rPr>
          <w:tab/>
        </w:r>
        <w:r>
          <w:rPr>
            <w:noProof/>
            <w:webHidden/>
          </w:rPr>
          <w:fldChar w:fldCharType="begin"/>
        </w:r>
        <w:r>
          <w:rPr>
            <w:noProof/>
            <w:webHidden/>
          </w:rPr>
          <w:instrText xml:space="preserve"> PAGEREF _Toc187056500 \h </w:instrText>
        </w:r>
        <w:r>
          <w:rPr>
            <w:noProof/>
            <w:webHidden/>
          </w:rPr>
        </w:r>
        <w:r>
          <w:rPr>
            <w:noProof/>
            <w:webHidden/>
          </w:rPr>
          <w:fldChar w:fldCharType="separate"/>
        </w:r>
        <w:r>
          <w:rPr>
            <w:noProof/>
            <w:webHidden/>
          </w:rPr>
          <w:t>5</w:t>
        </w:r>
        <w:r>
          <w:rPr>
            <w:noProof/>
            <w:webHidden/>
          </w:rPr>
          <w:fldChar w:fldCharType="end"/>
        </w:r>
      </w:hyperlink>
    </w:p>
    <w:p w14:paraId="410059E4" w14:textId="79F22A1C"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01" w:history="1">
        <w:r w:rsidRPr="004953C4">
          <w:rPr>
            <w:rStyle w:val="Hyperlink"/>
            <w:noProof/>
          </w:rPr>
          <w:t>Criminalization of Homelessness</w:t>
        </w:r>
        <w:r>
          <w:rPr>
            <w:noProof/>
            <w:webHidden/>
          </w:rPr>
          <w:tab/>
        </w:r>
        <w:r>
          <w:rPr>
            <w:noProof/>
            <w:webHidden/>
          </w:rPr>
          <w:fldChar w:fldCharType="begin"/>
        </w:r>
        <w:r>
          <w:rPr>
            <w:noProof/>
            <w:webHidden/>
          </w:rPr>
          <w:instrText xml:space="preserve"> PAGEREF _Toc187056501 \h </w:instrText>
        </w:r>
        <w:r>
          <w:rPr>
            <w:noProof/>
            <w:webHidden/>
          </w:rPr>
        </w:r>
        <w:r>
          <w:rPr>
            <w:noProof/>
            <w:webHidden/>
          </w:rPr>
          <w:fldChar w:fldCharType="separate"/>
        </w:r>
        <w:r>
          <w:rPr>
            <w:noProof/>
            <w:webHidden/>
          </w:rPr>
          <w:t>8</w:t>
        </w:r>
        <w:r>
          <w:rPr>
            <w:noProof/>
            <w:webHidden/>
          </w:rPr>
          <w:fldChar w:fldCharType="end"/>
        </w:r>
      </w:hyperlink>
    </w:p>
    <w:p w14:paraId="45854F54" w14:textId="3FB52A8A" w:rsidR="004F2B0A" w:rsidRDefault="004F2B0A" w:rsidP="004F2B0A">
      <w:pPr>
        <w:pStyle w:val="TOC1"/>
        <w:rPr>
          <w:rFonts w:asciiTheme="minorHAnsi" w:eastAsiaTheme="minorEastAsia" w:hAnsiTheme="minorHAnsi" w:cstheme="minorBidi"/>
          <w:noProof/>
          <w:kern w:val="2"/>
          <w14:ligatures w14:val="standardContextual"/>
        </w:rPr>
      </w:pPr>
      <w:hyperlink w:anchor="_Toc187056502" w:history="1">
        <w:r w:rsidRPr="004953C4">
          <w:rPr>
            <w:rStyle w:val="Hyperlink"/>
            <w:noProof/>
          </w:rPr>
          <w:t>Chapter 2: Disability Law</w:t>
        </w:r>
        <w:r>
          <w:rPr>
            <w:noProof/>
            <w:webHidden/>
          </w:rPr>
          <w:tab/>
        </w:r>
        <w:r>
          <w:rPr>
            <w:noProof/>
            <w:webHidden/>
          </w:rPr>
          <w:fldChar w:fldCharType="begin"/>
        </w:r>
        <w:r>
          <w:rPr>
            <w:noProof/>
            <w:webHidden/>
          </w:rPr>
          <w:instrText xml:space="preserve"> PAGEREF _Toc187056502 \h </w:instrText>
        </w:r>
        <w:r>
          <w:rPr>
            <w:noProof/>
            <w:webHidden/>
          </w:rPr>
        </w:r>
        <w:r>
          <w:rPr>
            <w:noProof/>
            <w:webHidden/>
          </w:rPr>
          <w:fldChar w:fldCharType="separate"/>
        </w:r>
        <w:r>
          <w:rPr>
            <w:noProof/>
            <w:webHidden/>
          </w:rPr>
          <w:t>10</w:t>
        </w:r>
        <w:r>
          <w:rPr>
            <w:noProof/>
            <w:webHidden/>
          </w:rPr>
          <w:fldChar w:fldCharType="end"/>
        </w:r>
      </w:hyperlink>
    </w:p>
    <w:p w14:paraId="264118A4" w14:textId="03C740D3"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03" w:history="1">
        <w:r w:rsidRPr="004953C4">
          <w:rPr>
            <w:rStyle w:val="Hyperlink"/>
            <w:noProof/>
          </w:rPr>
          <w:t>Americans with Disabilities Act</w:t>
        </w:r>
        <w:r>
          <w:rPr>
            <w:noProof/>
            <w:webHidden/>
          </w:rPr>
          <w:tab/>
        </w:r>
        <w:r>
          <w:rPr>
            <w:noProof/>
            <w:webHidden/>
          </w:rPr>
          <w:fldChar w:fldCharType="begin"/>
        </w:r>
        <w:r>
          <w:rPr>
            <w:noProof/>
            <w:webHidden/>
          </w:rPr>
          <w:instrText xml:space="preserve"> PAGEREF _Toc187056503 \h </w:instrText>
        </w:r>
        <w:r>
          <w:rPr>
            <w:noProof/>
            <w:webHidden/>
          </w:rPr>
        </w:r>
        <w:r>
          <w:rPr>
            <w:noProof/>
            <w:webHidden/>
          </w:rPr>
          <w:fldChar w:fldCharType="separate"/>
        </w:r>
        <w:r>
          <w:rPr>
            <w:noProof/>
            <w:webHidden/>
          </w:rPr>
          <w:t>10</w:t>
        </w:r>
        <w:r>
          <w:rPr>
            <w:noProof/>
            <w:webHidden/>
          </w:rPr>
          <w:fldChar w:fldCharType="end"/>
        </w:r>
      </w:hyperlink>
    </w:p>
    <w:p w14:paraId="2A5B1E3A" w14:textId="0DD934ED"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04" w:history="1">
        <w:r w:rsidRPr="004953C4">
          <w:rPr>
            <w:rStyle w:val="Hyperlink"/>
            <w:noProof/>
          </w:rPr>
          <w:t>Section 504 of the Rehabilitation Act</w:t>
        </w:r>
        <w:r>
          <w:rPr>
            <w:noProof/>
            <w:webHidden/>
          </w:rPr>
          <w:tab/>
        </w:r>
        <w:r>
          <w:rPr>
            <w:noProof/>
            <w:webHidden/>
          </w:rPr>
          <w:fldChar w:fldCharType="begin"/>
        </w:r>
        <w:r>
          <w:rPr>
            <w:noProof/>
            <w:webHidden/>
          </w:rPr>
          <w:instrText xml:space="preserve"> PAGEREF _Toc187056504 \h </w:instrText>
        </w:r>
        <w:r>
          <w:rPr>
            <w:noProof/>
            <w:webHidden/>
          </w:rPr>
        </w:r>
        <w:r>
          <w:rPr>
            <w:noProof/>
            <w:webHidden/>
          </w:rPr>
          <w:fldChar w:fldCharType="separate"/>
        </w:r>
        <w:r>
          <w:rPr>
            <w:noProof/>
            <w:webHidden/>
          </w:rPr>
          <w:t>11</w:t>
        </w:r>
        <w:r>
          <w:rPr>
            <w:noProof/>
            <w:webHidden/>
          </w:rPr>
          <w:fldChar w:fldCharType="end"/>
        </w:r>
      </w:hyperlink>
    </w:p>
    <w:p w14:paraId="04A357F6" w14:textId="7CD130F3"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05" w:history="1">
        <w:r w:rsidRPr="004953C4">
          <w:rPr>
            <w:rStyle w:val="Hyperlink"/>
            <w:noProof/>
          </w:rPr>
          <w:t>California Disabled Persons Act</w:t>
        </w:r>
        <w:r>
          <w:rPr>
            <w:noProof/>
            <w:webHidden/>
          </w:rPr>
          <w:tab/>
        </w:r>
        <w:r>
          <w:rPr>
            <w:noProof/>
            <w:webHidden/>
          </w:rPr>
          <w:fldChar w:fldCharType="begin"/>
        </w:r>
        <w:r>
          <w:rPr>
            <w:noProof/>
            <w:webHidden/>
          </w:rPr>
          <w:instrText xml:space="preserve"> PAGEREF _Toc187056505 \h </w:instrText>
        </w:r>
        <w:r>
          <w:rPr>
            <w:noProof/>
            <w:webHidden/>
          </w:rPr>
        </w:r>
        <w:r>
          <w:rPr>
            <w:noProof/>
            <w:webHidden/>
          </w:rPr>
          <w:fldChar w:fldCharType="separate"/>
        </w:r>
        <w:r>
          <w:rPr>
            <w:noProof/>
            <w:webHidden/>
          </w:rPr>
          <w:t>11</w:t>
        </w:r>
        <w:r>
          <w:rPr>
            <w:noProof/>
            <w:webHidden/>
          </w:rPr>
          <w:fldChar w:fldCharType="end"/>
        </w:r>
      </w:hyperlink>
    </w:p>
    <w:p w14:paraId="09723763" w14:textId="63EB52AE"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06" w:history="1">
        <w:r w:rsidRPr="004953C4">
          <w:rPr>
            <w:rStyle w:val="Hyperlink"/>
            <w:noProof/>
          </w:rPr>
          <w:t>California Government Code Section 11135</w:t>
        </w:r>
        <w:r>
          <w:rPr>
            <w:noProof/>
            <w:webHidden/>
          </w:rPr>
          <w:tab/>
        </w:r>
        <w:r>
          <w:rPr>
            <w:noProof/>
            <w:webHidden/>
          </w:rPr>
          <w:fldChar w:fldCharType="begin"/>
        </w:r>
        <w:r>
          <w:rPr>
            <w:noProof/>
            <w:webHidden/>
          </w:rPr>
          <w:instrText xml:space="preserve"> PAGEREF _Toc187056506 \h </w:instrText>
        </w:r>
        <w:r>
          <w:rPr>
            <w:noProof/>
            <w:webHidden/>
          </w:rPr>
        </w:r>
        <w:r>
          <w:rPr>
            <w:noProof/>
            <w:webHidden/>
          </w:rPr>
          <w:fldChar w:fldCharType="separate"/>
        </w:r>
        <w:r>
          <w:rPr>
            <w:noProof/>
            <w:webHidden/>
          </w:rPr>
          <w:t>12</w:t>
        </w:r>
        <w:r>
          <w:rPr>
            <w:noProof/>
            <w:webHidden/>
          </w:rPr>
          <w:fldChar w:fldCharType="end"/>
        </w:r>
      </w:hyperlink>
    </w:p>
    <w:p w14:paraId="7DC37B39" w14:textId="00CF2FB7" w:rsidR="004F2B0A" w:rsidRDefault="004F2B0A" w:rsidP="004F2B0A">
      <w:pPr>
        <w:pStyle w:val="TOC1"/>
        <w:rPr>
          <w:rFonts w:asciiTheme="minorHAnsi" w:eastAsiaTheme="minorEastAsia" w:hAnsiTheme="minorHAnsi" w:cstheme="minorBidi"/>
          <w:noProof/>
          <w:kern w:val="2"/>
          <w14:ligatures w14:val="standardContextual"/>
        </w:rPr>
      </w:pPr>
      <w:hyperlink w:anchor="_Toc187056507" w:history="1">
        <w:r w:rsidRPr="004953C4">
          <w:rPr>
            <w:rStyle w:val="Hyperlink"/>
            <w:noProof/>
          </w:rPr>
          <w:t>Chapter 3: Title II of the Americans with Disabilities Act</w:t>
        </w:r>
        <w:r>
          <w:rPr>
            <w:noProof/>
            <w:webHidden/>
          </w:rPr>
          <w:tab/>
        </w:r>
        <w:r>
          <w:rPr>
            <w:noProof/>
            <w:webHidden/>
          </w:rPr>
          <w:fldChar w:fldCharType="begin"/>
        </w:r>
        <w:r>
          <w:rPr>
            <w:noProof/>
            <w:webHidden/>
          </w:rPr>
          <w:instrText xml:space="preserve"> PAGEREF _Toc187056507 \h </w:instrText>
        </w:r>
        <w:r>
          <w:rPr>
            <w:noProof/>
            <w:webHidden/>
          </w:rPr>
        </w:r>
        <w:r>
          <w:rPr>
            <w:noProof/>
            <w:webHidden/>
          </w:rPr>
          <w:fldChar w:fldCharType="separate"/>
        </w:r>
        <w:r>
          <w:rPr>
            <w:noProof/>
            <w:webHidden/>
          </w:rPr>
          <w:t>12</w:t>
        </w:r>
        <w:r>
          <w:rPr>
            <w:noProof/>
            <w:webHidden/>
          </w:rPr>
          <w:fldChar w:fldCharType="end"/>
        </w:r>
      </w:hyperlink>
    </w:p>
    <w:p w14:paraId="4F5B24A1" w14:textId="29EFA7F5"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08" w:history="1">
        <w:r w:rsidRPr="004953C4">
          <w:rPr>
            <w:rStyle w:val="Hyperlink"/>
            <w:noProof/>
          </w:rPr>
          <w:t>Basics of Title II</w:t>
        </w:r>
        <w:r>
          <w:rPr>
            <w:noProof/>
            <w:webHidden/>
          </w:rPr>
          <w:tab/>
        </w:r>
        <w:r>
          <w:rPr>
            <w:noProof/>
            <w:webHidden/>
          </w:rPr>
          <w:fldChar w:fldCharType="begin"/>
        </w:r>
        <w:r>
          <w:rPr>
            <w:noProof/>
            <w:webHidden/>
          </w:rPr>
          <w:instrText xml:space="preserve"> PAGEREF _Toc187056508 \h </w:instrText>
        </w:r>
        <w:r>
          <w:rPr>
            <w:noProof/>
            <w:webHidden/>
          </w:rPr>
        </w:r>
        <w:r>
          <w:rPr>
            <w:noProof/>
            <w:webHidden/>
          </w:rPr>
          <w:fldChar w:fldCharType="separate"/>
        </w:r>
        <w:r>
          <w:rPr>
            <w:noProof/>
            <w:webHidden/>
          </w:rPr>
          <w:t>12</w:t>
        </w:r>
        <w:r>
          <w:rPr>
            <w:noProof/>
            <w:webHidden/>
          </w:rPr>
          <w:fldChar w:fldCharType="end"/>
        </w:r>
      </w:hyperlink>
    </w:p>
    <w:p w14:paraId="7699161E" w14:textId="65609F2B"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09" w:history="1">
        <w:r w:rsidRPr="004953C4">
          <w:rPr>
            <w:rStyle w:val="Hyperlink"/>
            <w:noProof/>
          </w:rPr>
          <w:t>Disparate Impact</w:t>
        </w:r>
        <w:r>
          <w:rPr>
            <w:noProof/>
            <w:webHidden/>
          </w:rPr>
          <w:tab/>
        </w:r>
        <w:r>
          <w:rPr>
            <w:noProof/>
            <w:webHidden/>
          </w:rPr>
          <w:fldChar w:fldCharType="begin"/>
        </w:r>
        <w:r>
          <w:rPr>
            <w:noProof/>
            <w:webHidden/>
          </w:rPr>
          <w:instrText xml:space="preserve"> PAGEREF _Toc187056509 \h </w:instrText>
        </w:r>
        <w:r>
          <w:rPr>
            <w:noProof/>
            <w:webHidden/>
          </w:rPr>
        </w:r>
        <w:r>
          <w:rPr>
            <w:noProof/>
            <w:webHidden/>
          </w:rPr>
          <w:fldChar w:fldCharType="separate"/>
        </w:r>
        <w:r>
          <w:rPr>
            <w:noProof/>
            <w:webHidden/>
          </w:rPr>
          <w:t>13</w:t>
        </w:r>
        <w:r>
          <w:rPr>
            <w:noProof/>
            <w:webHidden/>
          </w:rPr>
          <w:fldChar w:fldCharType="end"/>
        </w:r>
      </w:hyperlink>
    </w:p>
    <w:p w14:paraId="69F270BC" w14:textId="305A1CB9"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10" w:history="1">
        <w:r w:rsidRPr="004953C4">
          <w:rPr>
            <w:rStyle w:val="Hyperlink"/>
            <w:noProof/>
          </w:rPr>
          <w:t>Disparate Impact and Anti-Camping Laws</w:t>
        </w:r>
        <w:r>
          <w:rPr>
            <w:noProof/>
            <w:webHidden/>
          </w:rPr>
          <w:tab/>
        </w:r>
        <w:r>
          <w:rPr>
            <w:noProof/>
            <w:webHidden/>
          </w:rPr>
          <w:fldChar w:fldCharType="begin"/>
        </w:r>
        <w:r>
          <w:rPr>
            <w:noProof/>
            <w:webHidden/>
          </w:rPr>
          <w:instrText xml:space="preserve"> PAGEREF _Toc187056510 \h </w:instrText>
        </w:r>
        <w:r>
          <w:rPr>
            <w:noProof/>
            <w:webHidden/>
          </w:rPr>
        </w:r>
        <w:r>
          <w:rPr>
            <w:noProof/>
            <w:webHidden/>
          </w:rPr>
          <w:fldChar w:fldCharType="separate"/>
        </w:r>
        <w:r>
          <w:rPr>
            <w:noProof/>
            <w:webHidden/>
          </w:rPr>
          <w:t>14</w:t>
        </w:r>
        <w:r>
          <w:rPr>
            <w:noProof/>
            <w:webHidden/>
          </w:rPr>
          <w:fldChar w:fldCharType="end"/>
        </w:r>
      </w:hyperlink>
    </w:p>
    <w:p w14:paraId="14DBD575" w14:textId="344D682E" w:rsidR="004F2B0A" w:rsidRDefault="004F2B0A" w:rsidP="004F2B0A">
      <w:pPr>
        <w:pStyle w:val="TOC1"/>
        <w:rPr>
          <w:rFonts w:asciiTheme="minorHAnsi" w:eastAsiaTheme="minorEastAsia" w:hAnsiTheme="minorHAnsi" w:cstheme="minorBidi"/>
          <w:noProof/>
          <w:kern w:val="2"/>
          <w14:ligatures w14:val="standardContextual"/>
        </w:rPr>
      </w:pPr>
      <w:hyperlink w:anchor="_Toc187056511" w:history="1">
        <w:r w:rsidRPr="004953C4">
          <w:rPr>
            <w:rStyle w:val="Hyperlink"/>
            <w:noProof/>
          </w:rPr>
          <w:t>Chapter 4: Reasonable Modifications under Title II of the Americans with Disabilities Act</w:t>
        </w:r>
        <w:r>
          <w:rPr>
            <w:noProof/>
            <w:webHidden/>
          </w:rPr>
          <w:tab/>
        </w:r>
        <w:r>
          <w:rPr>
            <w:noProof/>
            <w:webHidden/>
          </w:rPr>
          <w:fldChar w:fldCharType="begin"/>
        </w:r>
        <w:r>
          <w:rPr>
            <w:noProof/>
            <w:webHidden/>
          </w:rPr>
          <w:instrText xml:space="preserve"> PAGEREF _Toc187056511 \h </w:instrText>
        </w:r>
        <w:r>
          <w:rPr>
            <w:noProof/>
            <w:webHidden/>
          </w:rPr>
        </w:r>
        <w:r>
          <w:rPr>
            <w:noProof/>
            <w:webHidden/>
          </w:rPr>
          <w:fldChar w:fldCharType="separate"/>
        </w:r>
        <w:r>
          <w:rPr>
            <w:noProof/>
            <w:webHidden/>
          </w:rPr>
          <w:t>17</w:t>
        </w:r>
        <w:r>
          <w:rPr>
            <w:noProof/>
            <w:webHidden/>
          </w:rPr>
          <w:fldChar w:fldCharType="end"/>
        </w:r>
      </w:hyperlink>
    </w:p>
    <w:p w14:paraId="5098B854" w14:textId="4351B7FC"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12" w:history="1">
        <w:r w:rsidRPr="004953C4">
          <w:rPr>
            <w:rStyle w:val="Hyperlink"/>
            <w:noProof/>
          </w:rPr>
          <w:t>Reasonable Modifications of Encampment Clearings</w:t>
        </w:r>
        <w:r>
          <w:rPr>
            <w:noProof/>
            <w:webHidden/>
          </w:rPr>
          <w:tab/>
        </w:r>
        <w:r>
          <w:rPr>
            <w:noProof/>
            <w:webHidden/>
          </w:rPr>
          <w:fldChar w:fldCharType="begin"/>
        </w:r>
        <w:r>
          <w:rPr>
            <w:noProof/>
            <w:webHidden/>
          </w:rPr>
          <w:instrText xml:space="preserve"> PAGEREF _Toc187056512 \h </w:instrText>
        </w:r>
        <w:r>
          <w:rPr>
            <w:noProof/>
            <w:webHidden/>
          </w:rPr>
        </w:r>
        <w:r>
          <w:rPr>
            <w:noProof/>
            <w:webHidden/>
          </w:rPr>
          <w:fldChar w:fldCharType="separate"/>
        </w:r>
        <w:r>
          <w:rPr>
            <w:noProof/>
            <w:webHidden/>
          </w:rPr>
          <w:t>19</w:t>
        </w:r>
        <w:r>
          <w:rPr>
            <w:noProof/>
            <w:webHidden/>
          </w:rPr>
          <w:fldChar w:fldCharType="end"/>
        </w:r>
      </w:hyperlink>
    </w:p>
    <w:p w14:paraId="0DE44BA8" w14:textId="751D9795"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13" w:history="1">
        <w:r w:rsidRPr="004953C4">
          <w:rPr>
            <w:rStyle w:val="Hyperlink"/>
            <w:noProof/>
          </w:rPr>
          <w:t>Damages</w:t>
        </w:r>
        <w:r>
          <w:rPr>
            <w:noProof/>
            <w:webHidden/>
          </w:rPr>
          <w:tab/>
        </w:r>
        <w:r>
          <w:rPr>
            <w:noProof/>
            <w:webHidden/>
          </w:rPr>
          <w:fldChar w:fldCharType="begin"/>
        </w:r>
        <w:r>
          <w:rPr>
            <w:noProof/>
            <w:webHidden/>
          </w:rPr>
          <w:instrText xml:space="preserve"> PAGEREF _Toc187056513 \h </w:instrText>
        </w:r>
        <w:r>
          <w:rPr>
            <w:noProof/>
            <w:webHidden/>
          </w:rPr>
        </w:r>
        <w:r>
          <w:rPr>
            <w:noProof/>
            <w:webHidden/>
          </w:rPr>
          <w:fldChar w:fldCharType="separate"/>
        </w:r>
        <w:r>
          <w:rPr>
            <w:noProof/>
            <w:webHidden/>
          </w:rPr>
          <w:t>21</w:t>
        </w:r>
        <w:r>
          <w:rPr>
            <w:noProof/>
            <w:webHidden/>
          </w:rPr>
          <w:fldChar w:fldCharType="end"/>
        </w:r>
      </w:hyperlink>
    </w:p>
    <w:p w14:paraId="0A37170B" w14:textId="389B085C" w:rsidR="004F2B0A" w:rsidRDefault="004F2B0A" w:rsidP="004F2B0A">
      <w:pPr>
        <w:pStyle w:val="TOC1"/>
        <w:rPr>
          <w:rFonts w:asciiTheme="minorHAnsi" w:eastAsiaTheme="minorEastAsia" w:hAnsiTheme="minorHAnsi" w:cstheme="minorBidi"/>
          <w:noProof/>
          <w:kern w:val="2"/>
          <w14:ligatures w14:val="standardContextual"/>
        </w:rPr>
      </w:pPr>
      <w:hyperlink w:anchor="_Toc187056514" w:history="1">
        <w:r w:rsidRPr="004953C4">
          <w:rPr>
            <w:rStyle w:val="Hyperlink"/>
            <w:noProof/>
          </w:rPr>
          <w:t>Chapter 5: Government Responses to Title II of the Americans with Disabilities Act</w:t>
        </w:r>
        <w:r>
          <w:rPr>
            <w:noProof/>
            <w:webHidden/>
          </w:rPr>
          <w:tab/>
        </w:r>
        <w:r>
          <w:rPr>
            <w:noProof/>
            <w:webHidden/>
          </w:rPr>
          <w:fldChar w:fldCharType="begin"/>
        </w:r>
        <w:r>
          <w:rPr>
            <w:noProof/>
            <w:webHidden/>
          </w:rPr>
          <w:instrText xml:space="preserve"> PAGEREF _Toc187056514 \h </w:instrText>
        </w:r>
        <w:r>
          <w:rPr>
            <w:noProof/>
            <w:webHidden/>
          </w:rPr>
        </w:r>
        <w:r>
          <w:rPr>
            <w:noProof/>
            <w:webHidden/>
          </w:rPr>
          <w:fldChar w:fldCharType="separate"/>
        </w:r>
        <w:r>
          <w:rPr>
            <w:noProof/>
            <w:webHidden/>
          </w:rPr>
          <w:t>23</w:t>
        </w:r>
        <w:r>
          <w:rPr>
            <w:noProof/>
            <w:webHidden/>
          </w:rPr>
          <w:fldChar w:fldCharType="end"/>
        </w:r>
      </w:hyperlink>
    </w:p>
    <w:p w14:paraId="7E7BBE82" w14:textId="06C7F2D1"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15" w:history="1">
        <w:r w:rsidRPr="004953C4">
          <w:rPr>
            <w:rStyle w:val="Hyperlink"/>
            <w:noProof/>
          </w:rPr>
          <w:t>Fundamental Alteration</w:t>
        </w:r>
        <w:r>
          <w:rPr>
            <w:noProof/>
            <w:webHidden/>
          </w:rPr>
          <w:tab/>
        </w:r>
        <w:r>
          <w:rPr>
            <w:noProof/>
            <w:webHidden/>
          </w:rPr>
          <w:fldChar w:fldCharType="begin"/>
        </w:r>
        <w:r>
          <w:rPr>
            <w:noProof/>
            <w:webHidden/>
          </w:rPr>
          <w:instrText xml:space="preserve"> PAGEREF _Toc187056515 \h </w:instrText>
        </w:r>
        <w:r>
          <w:rPr>
            <w:noProof/>
            <w:webHidden/>
          </w:rPr>
        </w:r>
        <w:r>
          <w:rPr>
            <w:noProof/>
            <w:webHidden/>
          </w:rPr>
          <w:fldChar w:fldCharType="separate"/>
        </w:r>
        <w:r>
          <w:rPr>
            <w:noProof/>
            <w:webHidden/>
          </w:rPr>
          <w:t>23</w:t>
        </w:r>
        <w:r>
          <w:rPr>
            <w:noProof/>
            <w:webHidden/>
          </w:rPr>
          <w:fldChar w:fldCharType="end"/>
        </w:r>
      </w:hyperlink>
    </w:p>
    <w:p w14:paraId="6C48864C" w14:textId="713ABF6B"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16" w:history="1">
        <w:r w:rsidRPr="004953C4">
          <w:rPr>
            <w:rStyle w:val="Hyperlink"/>
            <w:noProof/>
          </w:rPr>
          <w:t>Undue Financial or Administrative Burden</w:t>
        </w:r>
        <w:r>
          <w:rPr>
            <w:noProof/>
            <w:webHidden/>
          </w:rPr>
          <w:tab/>
        </w:r>
        <w:r>
          <w:rPr>
            <w:noProof/>
            <w:webHidden/>
          </w:rPr>
          <w:fldChar w:fldCharType="begin"/>
        </w:r>
        <w:r>
          <w:rPr>
            <w:noProof/>
            <w:webHidden/>
          </w:rPr>
          <w:instrText xml:space="preserve"> PAGEREF _Toc187056516 \h </w:instrText>
        </w:r>
        <w:r>
          <w:rPr>
            <w:noProof/>
            <w:webHidden/>
          </w:rPr>
        </w:r>
        <w:r>
          <w:rPr>
            <w:noProof/>
            <w:webHidden/>
          </w:rPr>
          <w:fldChar w:fldCharType="separate"/>
        </w:r>
        <w:r>
          <w:rPr>
            <w:noProof/>
            <w:webHidden/>
          </w:rPr>
          <w:t>25</w:t>
        </w:r>
        <w:r>
          <w:rPr>
            <w:noProof/>
            <w:webHidden/>
          </w:rPr>
          <w:fldChar w:fldCharType="end"/>
        </w:r>
      </w:hyperlink>
    </w:p>
    <w:p w14:paraId="3555023A" w14:textId="1403F07B" w:rsidR="004F2B0A" w:rsidRDefault="004F2B0A">
      <w:pPr>
        <w:pStyle w:val="TOC2"/>
        <w:tabs>
          <w:tab w:val="right" w:leader="dot" w:pos="9926"/>
        </w:tabs>
        <w:rPr>
          <w:rFonts w:asciiTheme="minorHAnsi" w:eastAsiaTheme="minorEastAsia" w:hAnsiTheme="minorHAnsi" w:cstheme="minorBidi"/>
          <w:bCs w:val="0"/>
          <w:noProof/>
          <w:kern w:val="2"/>
          <w:szCs w:val="24"/>
          <w14:ligatures w14:val="standardContextual"/>
        </w:rPr>
      </w:pPr>
      <w:hyperlink w:anchor="_Toc187056517" w:history="1">
        <w:r w:rsidRPr="004953C4">
          <w:rPr>
            <w:rStyle w:val="Hyperlink"/>
            <w:noProof/>
          </w:rPr>
          <w:t>Direct Threat</w:t>
        </w:r>
        <w:r>
          <w:rPr>
            <w:noProof/>
            <w:webHidden/>
          </w:rPr>
          <w:tab/>
        </w:r>
        <w:r>
          <w:rPr>
            <w:noProof/>
            <w:webHidden/>
          </w:rPr>
          <w:fldChar w:fldCharType="begin"/>
        </w:r>
        <w:r>
          <w:rPr>
            <w:noProof/>
            <w:webHidden/>
          </w:rPr>
          <w:instrText xml:space="preserve"> PAGEREF _Toc187056517 \h </w:instrText>
        </w:r>
        <w:r>
          <w:rPr>
            <w:noProof/>
            <w:webHidden/>
          </w:rPr>
        </w:r>
        <w:r>
          <w:rPr>
            <w:noProof/>
            <w:webHidden/>
          </w:rPr>
          <w:fldChar w:fldCharType="separate"/>
        </w:r>
        <w:r>
          <w:rPr>
            <w:noProof/>
            <w:webHidden/>
          </w:rPr>
          <w:t>25</w:t>
        </w:r>
        <w:r>
          <w:rPr>
            <w:noProof/>
            <w:webHidden/>
          </w:rPr>
          <w:fldChar w:fldCharType="end"/>
        </w:r>
      </w:hyperlink>
    </w:p>
    <w:p w14:paraId="19434536" w14:textId="5E216A46" w:rsidR="004F2B0A" w:rsidRDefault="004F2B0A" w:rsidP="004F2B0A">
      <w:pPr>
        <w:pStyle w:val="TOC1"/>
        <w:rPr>
          <w:rFonts w:asciiTheme="minorHAnsi" w:eastAsiaTheme="minorEastAsia" w:hAnsiTheme="minorHAnsi" w:cstheme="minorBidi"/>
          <w:noProof/>
          <w:kern w:val="2"/>
          <w14:ligatures w14:val="standardContextual"/>
        </w:rPr>
      </w:pPr>
      <w:hyperlink w:anchor="_Toc187056518" w:history="1">
        <w:r w:rsidRPr="004953C4">
          <w:rPr>
            <w:rStyle w:val="Hyperlink"/>
            <w:noProof/>
          </w:rPr>
          <w:t>Conclusion</w:t>
        </w:r>
        <w:r>
          <w:rPr>
            <w:noProof/>
            <w:webHidden/>
          </w:rPr>
          <w:tab/>
        </w:r>
        <w:r>
          <w:rPr>
            <w:noProof/>
            <w:webHidden/>
          </w:rPr>
          <w:fldChar w:fldCharType="begin"/>
        </w:r>
        <w:r>
          <w:rPr>
            <w:noProof/>
            <w:webHidden/>
          </w:rPr>
          <w:instrText xml:space="preserve"> PAGEREF _Toc187056518 \h </w:instrText>
        </w:r>
        <w:r>
          <w:rPr>
            <w:noProof/>
            <w:webHidden/>
          </w:rPr>
        </w:r>
        <w:r>
          <w:rPr>
            <w:noProof/>
            <w:webHidden/>
          </w:rPr>
          <w:fldChar w:fldCharType="separate"/>
        </w:r>
        <w:r>
          <w:rPr>
            <w:noProof/>
            <w:webHidden/>
          </w:rPr>
          <w:t>26</w:t>
        </w:r>
        <w:r>
          <w:rPr>
            <w:noProof/>
            <w:webHidden/>
          </w:rPr>
          <w:fldChar w:fldCharType="end"/>
        </w:r>
      </w:hyperlink>
    </w:p>
    <w:p w14:paraId="44C2EFCD" w14:textId="6D7A6E8C" w:rsidR="004F2B0A" w:rsidRDefault="004F2B0A" w:rsidP="004F2B0A">
      <w:pPr>
        <w:pStyle w:val="TOC1"/>
        <w:rPr>
          <w:rFonts w:asciiTheme="minorHAnsi" w:eastAsiaTheme="minorEastAsia" w:hAnsiTheme="minorHAnsi" w:cstheme="minorBidi"/>
          <w:noProof/>
          <w:kern w:val="2"/>
          <w14:ligatures w14:val="standardContextual"/>
        </w:rPr>
      </w:pPr>
      <w:hyperlink w:anchor="_Toc187056519" w:history="1">
        <w:r w:rsidRPr="004953C4">
          <w:rPr>
            <w:rStyle w:val="Hyperlink"/>
            <w:noProof/>
          </w:rPr>
          <w:t>About the Author</w:t>
        </w:r>
        <w:r>
          <w:rPr>
            <w:noProof/>
            <w:webHidden/>
          </w:rPr>
          <w:tab/>
        </w:r>
        <w:r>
          <w:rPr>
            <w:noProof/>
            <w:webHidden/>
          </w:rPr>
          <w:fldChar w:fldCharType="begin"/>
        </w:r>
        <w:r>
          <w:rPr>
            <w:noProof/>
            <w:webHidden/>
          </w:rPr>
          <w:instrText xml:space="preserve"> PAGEREF _Toc187056519 \h </w:instrText>
        </w:r>
        <w:r>
          <w:rPr>
            <w:noProof/>
            <w:webHidden/>
          </w:rPr>
        </w:r>
        <w:r>
          <w:rPr>
            <w:noProof/>
            <w:webHidden/>
          </w:rPr>
          <w:fldChar w:fldCharType="separate"/>
        </w:r>
        <w:r>
          <w:rPr>
            <w:noProof/>
            <w:webHidden/>
          </w:rPr>
          <w:t>27</w:t>
        </w:r>
        <w:r>
          <w:rPr>
            <w:noProof/>
            <w:webHidden/>
          </w:rPr>
          <w:fldChar w:fldCharType="end"/>
        </w:r>
      </w:hyperlink>
    </w:p>
    <w:p w14:paraId="05765462" w14:textId="6FEF04AC" w:rsidR="004F2B0A" w:rsidRDefault="004F2B0A" w:rsidP="004F2B0A">
      <w:pPr>
        <w:pStyle w:val="TOC1"/>
        <w:rPr>
          <w:rFonts w:asciiTheme="minorHAnsi" w:eastAsiaTheme="minorEastAsia" w:hAnsiTheme="minorHAnsi" w:cstheme="minorBidi"/>
          <w:noProof/>
          <w:kern w:val="2"/>
          <w14:ligatures w14:val="standardContextual"/>
        </w:rPr>
      </w:pPr>
      <w:hyperlink w:anchor="_Toc187056520" w:history="1">
        <w:r w:rsidRPr="004953C4">
          <w:rPr>
            <w:rStyle w:val="Hyperlink"/>
            <w:noProof/>
          </w:rPr>
          <w:t>Acknowledgments</w:t>
        </w:r>
        <w:r>
          <w:rPr>
            <w:noProof/>
            <w:webHidden/>
          </w:rPr>
          <w:tab/>
        </w:r>
        <w:r>
          <w:rPr>
            <w:noProof/>
            <w:webHidden/>
          </w:rPr>
          <w:fldChar w:fldCharType="begin"/>
        </w:r>
        <w:r>
          <w:rPr>
            <w:noProof/>
            <w:webHidden/>
          </w:rPr>
          <w:instrText xml:space="preserve"> PAGEREF _Toc187056520 \h </w:instrText>
        </w:r>
        <w:r>
          <w:rPr>
            <w:noProof/>
            <w:webHidden/>
          </w:rPr>
        </w:r>
        <w:r>
          <w:rPr>
            <w:noProof/>
            <w:webHidden/>
          </w:rPr>
          <w:fldChar w:fldCharType="separate"/>
        </w:r>
        <w:r>
          <w:rPr>
            <w:noProof/>
            <w:webHidden/>
          </w:rPr>
          <w:t>27</w:t>
        </w:r>
        <w:r>
          <w:rPr>
            <w:noProof/>
            <w:webHidden/>
          </w:rPr>
          <w:fldChar w:fldCharType="end"/>
        </w:r>
      </w:hyperlink>
    </w:p>
    <w:p w14:paraId="278FDCF7" w14:textId="78EDAFC6" w:rsidR="004F2B0A" w:rsidRDefault="004F2B0A" w:rsidP="004F2B0A">
      <w:pPr>
        <w:pStyle w:val="TOC1"/>
        <w:rPr>
          <w:rFonts w:asciiTheme="minorHAnsi" w:eastAsiaTheme="minorEastAsia" w:hAnsiTheme="minorHAnsi" w:cstheme="minorBidi"/>
          <w:noProof/>
          <w:kern w:val="2"/>
          <w14:ligatures w14:val="standardContextual"/>
        </w:rPr>
      </w:pPr>
      <w:hyperlink w:anchor="_Toc187056521" w:history="1">
        <w:r w:rsidRPr="004953C4">
          <w:rPr>
            <w:rStyle w:val="Hyperlink"/>
            <w:noProof/>
          </w:rPr>
          <w:t>Disclaimers</w:t>
        </w:r>
        <w:r>
          <w:rPr>
            <w:noProof/>
            <w:webHidden/>
          </w:rPr>
          <w:tab/>
        </w:r>
        <w:r>
          <w:rPr>
            <w:noProof/>
            <w:webHidden/>
          </w:rPr>
          <w:fldChar w:fldCharType="begin"/>
        </w:r>
        <w:r>
          <w:rPr>
            <w:noProof/>
            <w:webHidden/>
          </w:rPr>
          <w:instrText xml:space="preserve"> PAGEREF _Toc187056521 \h </w:instrText>
        </w:r>
        <w:r>
          <w:rPr>
            <w:noProof/>
            <w:webHidden/>
          </w:rPr>
        </w:r>
        <w:r>
          <w:rPr>
            <w:noProof/>
            <w:webHidden/>
          </w:rPr>
          <w:fldChar w:fldCharType="separate"/>
        </w:r>
        <w:r>
          <w:rPr>
            <w:noProof/>
            <w:webHidden/>
          </w:rPr>
          <w:t>27</w:t>
        </w:r>
        <w:r>
          <w:rPr>
            <w:noProof/>
            <w:webHidden/>
          </w:rPr>
          <w:fldChar w:fldCharType="end"/>
        </w:r>
      </w:hyperlink>
    </w:p>
    <w:p w14:paraId="74FF4B51" w14:textId="551CAD65" w:rsidR="00F97636" w:rsidRPr="00F97636" w:rsidRDefault="00F97636" w:rsidP="00F97636">
      <w:pPr>
        <w:spacing w:before="0"/>
      </w:pPr>
      <w:r w:rsidRPr="00F97636">
        <w:fldChar w:fldCharType="end"/>
      </w:r>
    </w:p>
    <w:p w14:paraId="25D52704" w14:textId="622C4F99" w:rsidR="00F97636" w:rsidRPr="00F97636" w:rsidRDefault="00F97636" w:rsidP="00F97636">
      <w:pPr>
        <w:tabs>
          <w:tab w:val="left" w:pos="8840"/>
        </w:tabs>
      </w:pPr>
      <w:r>
        <w:tab/>
      </w:r>
    </w:p>
    <w:p w14:paraId="66555B11" w14:textId="75FDE187" w:rsidR="00AB3B85" w:rsidRPr="00DD051B" w:rsidRDefault="00AB3B85" w:rsidP="00E95C1C">
      <w:pPr>
        <w:pStyle w:val="Heading1"/>
      </w:pPr>
      <w:bookmarkStart w:id="2" w:name="_Toc185507580"/>
      <w:bookmarkStart w:id="3" w:name="_Toc187054512"/>
      <w:bookmarkStart w:id="4" w:name="_Toc187056498"/>
      <w:r w:rsidRPr="00DD051B">
        <w:lastRenderedPageBreak/>
        <w:t>Introduction</w:t>
      </w:r>
      <w:bookmarkEnd w:id="0"/>
      <w:bookmarkEnd w:id="2"/>
      <w:bookmarkEnd w:id="3"/>
      <w:bookmarkEnd w:id="4"/>
    </w:p>
    <w:p w14:paraId="1E43F6C2" w14:textId="57826827" w:rsidR="00FB5DD2" w:rsidRPr="00D04E7B" w:rsidRDefault="006B6780" w:rsidP="006E236A">
      <w:r w:rsidRPr="00D04E7B">
        <w:t>Across California, cities ar</w:t>
      </w:r>
      <w:r w:rsidR="000C1BFE" w:rsidRPr="00D04E7B">
        <w:t xml:space="preserve">e passing laws criminalizing homelessness in response </w:t>
      </w:r>
      <w:r w:rsidR="00743EE5" w:rsidRPr="00D04E7B">
        <w:t>to</w:t>
      </w:r>
      <w:r w:rsidR="000C1BFE" w:rsidRPr="00D04E7B">
        <w:t xml:space="preserve"> the rising numbers of unhoused </w:t>
      </w:r>
      <w:r w:rsidR="00743EE5" w:rsidRPr="00D04E7B">
        <w:t>people</w:t>
      </w:r>
      <w:r w:rsidR="0073060C" w:rsidRPr="00D04E7B">
        <w:t xml:space="preserve">. </w:t>
      </w:r>
      <w:r w:rsidR="004B7CC8" w:rsidRPr="00D04E7B">
        <w:t>O</w:t>
      </w:r>
      <w:r w:rsidR="00AB3B85" w:rsidRPr="00D04E7B">
        <w:t xml:space="preserve">ver </w:t>
      </w:r>
      <w:r w:rsidR="00753DDB">
        <w:t>770,000</w:t>
      </w:r>
      <w:r w:rsidR="00AB3B85" w:rsidRPr="00D04E7B">
        <w:t xml:space="preserve"> people </w:t>
      </w:r>
      <w:r w:rsidR="004B7CC8" w:rsidRPr="00D04E7B">
        <w:t>are</w:t>
      </w:r>
      <w:r w:rsidR="00AB3B85" w:rsidRPr="00D04E7B">
        <w:t xml:space="preserve"> </w:t>
      </w:r>
      <w:r w:rsidR="004B7CC8" w:rsidRPr="00D04E7B">
        <w:t>unhoused</w:t>
      </w:r>
      <w:r w:rsidR="00AB3B85" w:rsidRPr="00D04E7B">
        <w:t xml:space="preserve"> in the United States</w:t>
      </w:r>
      <w:r w:rsidR="0013454C" w:rsidRPr="00D04E7B">
        <w:t xml:space="preserve"> with </w:t>
      </w:r>
      <w:r w:rsidR="00753DDB">
        <w:t>187,084 of</w:t>
      </w:r>
      <w:r w:rsidR="0013454C" w:rsidRPr="00D04E7B">
        <w:t xml:space="preserve"> those people living in California</w:t>
      </w:r>
      <w:r w:rsidR="00AB3B85" w:rsidRPr="00D04E7B">
        <w:t>.</w:t>
      </w:r>
      <w:r w:rsidR="007F193C" w:rsidRPr="00795961">
        <w:rPr>
          <w:rStyle w:val="FootnoteReference"/>
        </w:rPr>
        <w:footnoteReference w:id="2"/>
      </w:r>
      <w:r w:rsidR="00AB3B85" w:rsidRPr="00D04E7B">
        <w:t xml:space="preserve"> </w:t>
      </w:r>
      <w:r w:rsidR="002939A4" w:rsidRPr="00D04E7B">
        <w:t>People with disabilities are disproportionately represented among the unhoused population</w:t>
      </w:r>
      <w:r w:rsidR="00FF3F33" w:rsidRPr="00D04E7B">
        <w:t xml:space="preserve"> </w:t>
      </w:r>
      <w:r w:rsidR="0030339D" w:rsidRPr="00D04E7B">
        <w:t>and face great</w:t>
      </w:r>
      <w:r w:rsidR="003108AC" w:rsidRPr="00D04E7B">
        <w:t>er burdens under criminalization laws</w:t>
      </w:r>
      <w:r w:rsidR="002939A4" w:rsidRPr="00D04E7B">
        <w:t>.</w:t>
      </w:r>
      <w:r w:rsidR="002939A4" w:rsidRPr="00795961">
        <w:rPr>
          <w:rStyle w:val="FootnoteReference"/>
        </w:rPr>
        <w:footnoteReference w:id="3"/>
      </w:r>
      <w:r w:rsidR="00FF054F" w:rsidRPr="00D04E7B">
        <w:t xml:space="preserve"> </w:t>
      </w:r>
      <w:r w:rsidR="0041038D" w:rsidRPr="00D04E7B">
        <w:t>The situatio</w:t>
      </w:r>
      <w:r w:rsidR="00442B0F" w:rsidRPr="00D04E7B">
        <w:t xml:space="preserve">n has grown worse </w:t>
      </w:r>
      <w:r w:rsidR="00A15DDC" w:rsidRPr="00D04E7B">
        <w:t>since</w:t>
      </w:r>
      <w:r w:rsidR="00442B0F" w:rsidRPr="00D04E7B">
        <w:t xml:space="preserve"> the</w:t>
      </w:r>
      <w:r w:rsidR="00FF054F" w:rsidRPr="00D04E7B">
        <w:t xml:space="preserve"> Supreme Court decision in City of Grants Pass, </w:t>
      </w:r>
      <w:r w:rsidR="00FF054F" w:rsidRPr="00AF6496">
        <w:rPr>
          <w:i/>
          <w:iCs/>
        </w:rPr>
        <w:t>Oregon v. Johnson</w:t>
      </w:r>
      <w:r w:rsidR="00A15DDC" w:rsidRPr="00D04E7B">
        <w:t xml:space="preserve"> </w:t>
      </w:r>
      <w:r w:rsidR="000F4613" w:rsidRPr="00D04E7B">
        <w:t xml:space="preserve">which </w:t>
      </w:r>
      <w:r w:rsidR="00CE2C97" w:rsidRPr="00D04E7B">
        <w:t xml:space="preserve">overturned </w:t>
      </w:r>
      <w:r w:rsidR="00835BAF" w:rsidRPr="00D04E7B">
        <w:t>Ninth</w:t>
      </w:r>
      <w:r w:rsidR="00CE2C97" w:rsidRPr="00D04E7B">
        <w:t xml:space="preserve"> Circuit precedent that held </w:t>
      </w:r>
      <w:r w:rsidR="00F97D34" w:rsidRPr="00D04E7B">
        <w:t>that under the</w:t>
      </w:r>
      <w:r w:rsidR="00A15DDC" w:rsidRPr="00D04E7B">
        <w:t xml:space="preserve"> </w:t>
      </w:r>
      <w:r w:rsidR="0056219F" w:rsidRPr="00D04E7B">
        <w:t>8</w:t>
      </w:r>
      <w:r w:rsidR="218E03E6" w:rsidRPr="00D04E7B">
        <w:t>th</w:t>
      </w:r>
      <w:r w:rsidR="0056219F" w:rsidRPr="00D04E7B">
        <w:t xml:space="preserve"> Amendment </w:t>
      </w:r>
      <w:r w:rsidR="00F97D34" w:rsidRPr="00D04E7B">
        <w:t xml:space="preserve">fining and arresting a person </w:t>
      </w:r>
      <w:r w:rsidR="008822E7" w:rsidRPr="00D04E7B">
        <w:t xml:space="preserve">forced to </w:t>
      </w:r>
      <w:r w:rsidR="00682CFF" w:rsidRPr="00D04E7B">
        <w:t>live</w:t>
      </w:r>
      <w:r w:rsidR="008822E7" w:rsidRPr="00D04E7B">
        <w:t xml:space="preserve"> outside because shelter</w:t>
      </w:r>
      <w:r w:rsidR="0047532A" w:rsidRPr="00D04E7B">
        <w:t xml:space="preserve"> was unavailable</w:t>
      </w:r>
      <w:r w:rsidR="00F97D34" w:rsidRPr="00D04E7B">
        <w:t xml:space="preserve"> was cruel and unusual punishment</w:t>
      </w:r>
      <w:r w:rsidR="008822E7" w:rsidRPr="00D04E7B">
        <w:t>.</w:t>
      </w:r>
      <w:r w:rsidR="00F97D34" w:rsidRPr="00795961">
        <w:rPr>
          <w:rStyle w:val="FootnoteReference"/>
        </w:rPr>
        <w:footnoteReference w:id="4"/>
      </w:r>
      <w:r w:rsidR="009A785C" w:rsidRPr="00D04E7B">
        <w:t xml:space="preserve"> Emboldened by this decision,</w:t>
      </w:r>
      <w:r w:rsidR="0021451C" w:rsidRPr="00D04E7B">
        <w:t xml:space="preserve"> </w:t>
      </w:r>
      <w:r w:rsidR="004220A0" w:rsidRPr="00D04E7B">
        <w:t xml:space="preserve">several </w:t>
      </w:r>
      <w:r w:rsidR="004928AF" w:rsidRPr="00D04E7B">
        <w:t>California cities</w:t>
      </w:r>
      <w:r w:rsidR="0021451C" w:rsidRPr="00D04E7B">
        <w:t xml:space="preserve"> have passed, and are actively enforcing laws</w:t>
      </w:r>
      <w:r w:rsidR="00FF054F" w:rsidRPr="00D04E7B">
        <w:t xml:space="preserve"> subjecting unhoused people to fines, arrest, and incarceration</w:t>
      </w:r>
      <w:r w:rsidR="00D04E7B" w:rsidRPr="00D04E7B">
        <w:t xml:space="preserve"> </w:t>
      </w:r>
      <w:r w:rsidR="0009369E" w:rsidRPr="00D04E7B">
        <w:t>for life-sustaining activities, such as sleeping</w:t>
      </w:r>
      <w:r w:rsidR="00A95DB2" w:rsidRPr="00D04E7B">
        <w:t xml:space="preserve">, </w:t>
      </w:r>
      <w:r w:rsidR="0009369E" w:rsidRPr="00D04E7B">
        <w:t>camping, eating</w:t>
      </w:r>
      <w:r w:rsidR="00AF6496">
        <w:t>,</w:t>
      </w:r>
      <w:r w:rsidR="0009369E" w:rsidRPr="00D04E7B">
        <w:t xml:space="preserve"> or sit</w:t>
      </w:r>
      <w:r w:rsidR="00D04E7B" w:rsidRPr="00D04E7B">
        <w:t>t</w:t>
      </w:r>
      <w:r w:rsidR="0009369E" w:rsidRPr="00D04E7B">
        <w:t>ing in public spaces,</w:t>
      </w:r>
      <w:r w:rsidR="00F23766" w:rsidRPr="00D04E7B">
        <w:t xml:space="preserve"> regardless of the availability of shelter</w:t>
      </w:r>
      <w:r w:rsidR="00FF054F" w:rsidRPr="00D04E7B">
        <w:t>.</w:t>
      </w:r>
      <w:r w:rsidR="00E52D10" w:rsidRPr="00D04E7B">
        <w:t xml:space="preserve"> </w:t>
      </w:r>
      <w:r w:rsidR="008A586B" w:rsidRPr="00D04E7B">
        <w:t>M</w:t>
      </w:r>
      <w:r w:rsidR="008F59A1" w:rsidRPr="00D04E7B">
        <w:t xml:space="preserve">any unhoused people with disabilities </w:t>
      </w:r>
      <w:r w:rsidR="00FB243A" w:rsidRPr="00D04E7B">
        <w:t>are un</w:t>
      </w:r>
      <w:r w:rsidR="00FF054F" w:rsidRPr="00D04E7B">
        <w:t xml:space="preserve">able to meet the demands of </w:t>
      </w:r>
      <w:r w:rsidR="00FB243A" w:rsidRPr="00D04E7B">
        <w:t>criminalization</w:t>
      </w:r>
      <w:r w:rsidR="00FF054F" w:rsidRPr="00D04E7B">
        <w:t xml:space="preserve"> laws</w:t>
      </w:r>
      <w:r w:rsidR="00393517" w:rsidRPr="00D04E7B">
        <w:t xml:space="preserve">, such as requirements to </w:t>
      </w:r>
      <w:r w:rsidR="002632B0" w:rsidRPr="00D04E7B">
        <w:t>relocate quickly or multiple times a day</w:t>
      </w:r>
      <w:r w:rsidR="00FF054F" w:rsidRPr="00D04E7B">
        <w:t xml:space="preserve">. </w:t>
      </w:r>
    </w:p>
    <w:p w14:paraId="5B3EDDF3" w14:textId="356C553C" w:rsidR="00977A79" w:rsidRPr="00D04E7B" w:rsidRDefault="79A6ED15" w:rsidP="006E236A">
      <w:r w:rsidRPr="00D04E7B">
        <w:t>State and federal disability laws like the Americans with Disabilities Act (ADA) can mitigate the impact of criminalization laws and protect unhoused people with disabilities from discrimination</w:t>
      </w:r>
      <w:r w:rsidR="008578B8" w:rsidRPr="00D04E7B">
        <w:t xml:space="preserve">. </w:t>
      </w:r>
      <w:r w:rsidRPr="00D04E7B">
        <w:t xml:space="preserve">The ADA prohibits laws that have a disparate impact on people with disabilities and requires public entities provide disabled people with reasonable modifications. Under these laws, unhoused disabled people can ask for a reasonable modification of an anti-camping ordinance, such as extending the time to move, to enable them to comply with the law and avoid citations and arrest. </w:t>
      </w:r>
    </w:p>
    <w:p w14:paraId="5B4BE8AA" w14:textId="58BE4D4F" w:rsidR="00AB3B85" w:rsidRPr="00D04E7B" w:rsidRDefault="218E03E6" w:rsidP="006E236A">
      <w:r w:rsidRPr="00D04E7B">
        <w:t>This toolkit is for legal services attorneys and advocates for unhoused disabled people in California. It reviews how ordinances and policies that target unhoused people with criminal penalties may violate disability laws like the ADA. It</w:t>
      </w:r>
      <w:r w:rsidR="008578B8" w:rsidRPr="00D04E7B">
        <w:t xml:space="preserve"> </w:t>
      </w:r>
      <w:r w:rsidRPr="00D04E7B">
        <w:t xml:space="preserve">describes how to challenge the failure of municipalities to respect the rights of disabled people </w:t>
      </w:r>
      <w:r w:rsidR="006A72A9" w:rsidRPr="00D04E7B">
        <w:t>when enforcing laws</w:t>
      </w:r>
      <w:r w:rsidRPr="00D04E7B">
        <w:t xml:space="preserve">, including how to seek and enforce reasonable </w:t>
      </w:r>
      <w:r w:rsidR="007849BE" w:rsidRPr="00D04E7B">
        <w:t>modifications</w:t>
      </w:r>
      <w:r w:rsidRPr="00D04E7B">
        <w:t xml:space="preserve">. While this manual focuses on California, much of the focus is on the ADA, </w:t>
      </w:r>
      <w:r w:rsidRPr="00D04E7B">
        <w:lastRenderedPageBreak/>
        <w:t xml:space="preserve">which applies nationally, and the case law derives predominately from the </w:t>
      </w:r>
      <w:r w:rsidR="00835BAF" w:rsidRPr="00D04E7B">
        <w:t>Ninth</w:t>
      </w:r>
      <w:r w:rsidRPr="00D04E7B">
        <w:t xml:space="preserve"> </w:t>
      </w:r>
      <w:r w:rsidR="009E0691" w:rsidRPr="00D04E7B">
        <w:t>Circuit</w:t>
      </w:r>
      <w:r w:rsidR="007849BE" w:rsidRPr="00D04E7B">
        <w:t xml:space="preserve"> Court of Appeals</w:t>
      </w:r>
      <w:r w:rsidR="009E0691" w:rsidRPr="00D04E7B">
        <w:t xml:space="preserve"> so</w:t>
      </w:r>
      <w:r w:rsidRPr="00D04E7B">
        <w:t xml:space="preserve"> will also be helpful to people in Alaska, Arizona, Hawaii, Idaho, Montana, Nevada, Oregon, Washington, Guam, and Northern Mariana Islands. </w:t>
      </w:r>
    </w:p>
    <w:p w14:paraId="5AA01D2A" w14:textId="0570022B" w:rsidR="00E95E68" w:rsidRPr="00DD051B" w:rsidRDefault="00E95E68" w:rsidP="00E95C1C">
      <w:pPr>
        <w:pStyle w:val="Heading1"/>
      </w:pPr>
      <w:bookmarkStart w:id="5" w:name="_Toc185261673"/>
      <w:bookmarkStart w:id="6" w:name="_Toc185507581"/>
      <w:bookmarkStart w:id="7" w:name="_Toc187054513"/>
      <w:bookmarkStart w:id="8" w:name="_Toc187056499"/>
      <w:r w:rsidRPr="00DD051B">
        <w:t>Chapter 1: Background</w:t>
      </w:r>
      <w:bookmarkEnd w:id="5"/>
      <w:bookmarkEnd w:id="6"/>
      <w:bookmarkEnd w:id="7"/>
      <w:bookmarkEnd w:id="8"/>
      <w:r w:rsidRPr="00DD051B">
        <w:t xml:space="preserve"> </w:t>
      </w:r>
    </w:p>
    <w:p w14:paraId="06D4F865" w14:textId="101DBE78" w:rsidR="00E95E68" w:rsidRPr="00D04E7B" w:rsidRDefault="00E95E68" w:rsidP="00B0405B">
      <w:pPr>
        <w:pStyle w:val="Heading2"/>
      </w:pPr>
      <w:bookmarkStart w:id="9" w:name="_Toc185261674"/>
      <w:bookmarkStart w:id="10" w:name="_Toc185507582"/>
      <w:bookmarkStart w:id="11" w:name="_Toc187054514"/>
      <w:bookmarkStart w:id="12" w:name="_Toc187056500"/>
      <w:r w:rsidRPr="00D04E7B">
        <w:t>Disability and Homelessness</w:t>
      </w:r>
      <w:bookmarkEnd w:id="9"/>
      <w:bookmarkEnd w:id="10"/>
      <w:bookmarkEnd w:id="11"/>
      <w:bookmarkEnd w:id="12"/>
      <w:r w:rsidR="007A611E" w:rsidRPr="00D04E7B">
        <w:t xml:space="preserve"> </w:t>
      </w:r>
    </w:p>
    <w:p w14:paraId="61358EE8" w14:textId="43C5305D" w:rsidR="00B17091" w:rsidRPr="00D04E7B" w:rsidRDefault="00E95E68" w:rsidP="006E236A">
      <w:r w:rsidRPr="00D04E7B">
        <w:t xml:space="preserve">Protecting the rights of unhoused people is </w:t>
      </w:r>
      <w:r w:rsidR="009C346B" w:rsidRPr="00D04E7B">
        <w:t xml:space="preserve">a </w:t>
      </w:r>
      <w:r w:rsidRPr="00D04E7B">
        <w:t>disability rights</w:t>
      </w:r>
      <w:r w:rsidR="009C346B" w:rsidRPr="00D04E7B">
        <w:t xml:space="preserve"> issue</w:t>
      </w:r>
      <w:r w:rsidRPr="00D04E7B">
        <w:t>. A</w:t>
      </w:r>
      <w:r w:rsidR="00670508" w:rsidRPr="00D04E7B">
        <w:t xml:space="preserve"> study of </w:t>
      </w:r>
      <w:r w:rsidRPr="00D04E7B">
        <w:t xml:space="preserve">a representative sample of unhoused people in California </w:t>
      </w:r>
      <w:r w:rsidR="00670508" w:rsidRPr="00D04E7B">
        <w:t xml:space="preserve">found that 82% </w:t>
      </w:r>
      <w:r w:rsidRPr="00D04E7B">
        <w:t>had a mental health condition or related symptoms.</w:t>
      </w:r>
      <w:r w:rsidRPr="00D04E7B">
        <w:rPr>
          <w:rStyle w:val="FootnoteReference"/>
        </w:rPr>
        <w:footnoteReference w:id="5"/>
      </w:r>
      <w:r w:rsidRPr="00D04E7B">
        <w:t xml:space="preserve"> </w:t>
      </w:r>
      <w:r w:rsidR="001A7723" w:rsidRPr="00D04E7B">
        <w:t>According to the U.S. Department of Housing and Urban Development (HUD), nearly one in three unhoused individuals nationwide experience a chronic pattern of homelessness, meaning that they have experienced homelessness for extended periods of time and have a disability.</w:t>
      </w:r>
      <w:r w:rsidR="001A7723" w:rsidRPr="00D04E7B">
        <w:rPr>
          <w:rStyle w:val="FootnoteReference"/>
        </w:rPr>
        <w:footnoteReference w:id="6"/>
      </w:r>
      <w:r w:rsidR="001A7723" w:rsidRPr="00D04E7B">
        <w:t xml:space="preserve"> </w:t>
      </w:r>
      <w:r w:rsidR="000F0A37" w:rsidRPr="00D04E7B">
        <w:t xml:space="preserve">The number of unhoused people </w:t>
      </w:r>
      <w:r w:rsidR="00D054A9" w:rsidRPr="00D04E7B">
        <w:t>who are</w:t>
      </w:r>
      <w:r w:rsidR="00A91F86">
        <w:t xml:space="preserve"> </w:t>
      </w:r>
      <w:r w:rsidR="00D054A9" w:rsidRPr="00D04E7B">
        <w:t xml:space="preserve">chronically </w:t>
      </w:r>
      <w:r w:rsidR="00BC7DCB">
        <w:t>unhoused</w:t>
      </w:r>
      <w:r w:rsidR="00BC7DCB" w:rsidRPr="00D04E7B">
        <w:t xml:space="preserve"> </w:t>
      </w:r>
      <w:r w:rsidR="000F0A37" w:rsidRPr="00D04E7B">
        <w:t xml:space="preserve">has grown significantly across the country, with a </w:t>
      </w:r>
      <w:r w:rsidR="00A91F86">
        <w:t>27% increase since data collection started in 2007</w:t>
      </w:r>
      <w:r w:rsidR="000F0A37" w:rsidRPr="00D04E7B">
        <w:t>.</w:t>
      </w:r>
      <w:r w:rsidR="000F0A37" w:rsidRPr="00D04E7B">
        <w:rPr>
          <w:rStyle w:val="FootnoteReference"/>
        </w:rPr>
        <w:footnoteReference w:id="7"/>
      </w:r>
      <w:r w:rsidR="000F0A37" w:rsidRPr="00D04E7B">
        <w:t xml:space="preserve"> </w:t>
      </w:r>
      <w:r w:rsidR="001A7723" w:rsidRPr="00D04E7B">
        <w:t xml:space="preserve">California </w:t>
      </w:r>
      <w:r w:rsidR="00BC7DCB">
        <w:t>has the largest number of chronically unhoused individuals in the country with</w:t>
      </w:r>
      <w:r w:rsidR="001A7723" w:rsidRPr="00D04E7B">
        <w:t xml:space="preserve"> approximately </w:t>
      </w:r>
      <w:r w:rsidR="00BC7DCB">
        <w:t>66,548</w:t>
      </w:r>
      <w:r w:rsidR="001A7723" w:rsidRPr="00D04E7B">
        <w:t xml:space="preserve"> people who are chronically homeless</w:t>
      </w:r>
      <w:r w:rsidR="00BC7DCB">
        <w:t>, of which 74% are unsheltered</w:t>
      </w:r>
      <w:r w:rsidR="001A7723" w:rsidRPr="00D04E7B">
        <w:t>.</w:t>
      </w:r>
      <w:r w:rsidR="001A7723" w:rsidRPr="00D04E7B">
        <w:rPr>
          <w:rStyle w:val="FootnoteReference"/>
        </w:rPr>
        <w:footnoteReference w:id="8"/>
      </w:r>
      <w:r w:rsidR="001A7723" w:rsidRPr="00D04E7B">
        <w:t xml:space="preserve"> </w:t>
      </w:r>
      <w:r w:rsidR="00A72B9F" w:rsidRPr="00D04E7B">
        <w:t>Among unhoused people with disabilities, a</w:t>
      </w:r>
      <w:r w:rsidR="009A41FF" w:rsidRPr="00D04E7B">
        <w:t>pproximately 30-40% of people have</w:t>
      </w:r>
      <w:r w:rsidR="00F20892">
        <w:t xml:space="preserve"> an</w:t>
      </w:r>
      <w:r w:rsidR="009A41FF" w:rsidRPr="00D04E7B">
        <w:t xml:space="preserve"> </w:t>
      </w:r>
      <w:r w:rsidR="00F20892">
        <w:t>i</w:t>
      </w:r>
      <w:r w:rsidR="009A41FF" w:rsidRPr="00D04E7B">
        <w:t>ntellectual</w:t>
      </w:r>
      <w:r w:rsidR="00F20892">
        <w:t>/d</w:t>
      </w:r>
      <w:r w:rsidR="009A41FF" w:rsidRPr="00D04E7B">
        <w:t xml:space="preserve">evelopmental </w:t>
      </w:r>
      <w:r w:rsidR="00F20892">
        <w:t>d</w:t>
      </w:r>
      <w:r w:rsidR="009A41FF" w:rsidRPr="00D04E7B">
        <w:t>isabili</w:t>
      </w:r>
      <w:r w:rsidR="00F20892">
        <w:t>ty</w:t>
      </w:r>
      <w:r w:rsidR="79A6ED15" w:rsidRPr="00D04E7B">
        <w:t xml:space="preserve"> (I/DD)</w:t>
      </w:r>
      <w:r w:rsidR="00A72B9F" w:rsidRPr="00D04E7B">
        <w:t xml:space="preserve"> which includes </w:t>
      </w:r>
      <w:r w:rsidR="79A6ED15" w:rsidRPr="00D04E7B">
        <w:t>autistic people.</w:t>
      </w:r>
      <w:r w:rsidR="00A702DA" w:rsidRPr="00D04E7B">
        <w:rPr>
          <w:rStyle w:val="FootnoteReference"/>
        </w:rPr>
        <w:footnoteReference w:id="9"/>
      </w:r>
      <w:r w:rsidR="79A6ED15" w:rsidRPr="00D04E7B">
        <w:t xml:space="preserve"> </w:t>
      </w:r>
    </w:p>
    <w:p w14:paraId="5EA2639C" w14:textId="192BAFFA" w:rsidR="00B17091" w:rsidRPr="00D04E7B" w:rsidRDefault="00642FB6" w:rsidP="006E236A">
      <w:pPr>
        <w:rPr>
          <w:rFonts w:eastAsia="Aptos"/>
        </w:rPr>
      </w:pPr>
      <w:r w:rsidRPr="00D04E7B">
        <w:rPr>
          <w:rFonts w:eastAsia="Aptos"/>
        </w:rPr>
        <w:t>People with disabilities often experience more than double the poverty rate as compared to those without disabilities, putting them at a</w:t>
      </w:r>
      <w:r w:rsidR="00B17091" w:rsidRPr="00D04E7B">
        <w:rPr>
          <w:rFonts w:eastAsia="Aptos"/>
        </w:rPr>
        <w:t xml:space="preserve"> considerably </w:t>
      </w:r>
      <w:r w:rsidRPr="00D04E7B">
        <w:rPr>
          <w:rFonts w:eastAsia="Aptos"/>
        </w:rPr>
        <w:t>higher</w:t>
      </w:r>
      <w:r w:rsidR="00B17091" w:rsidRPr="00D04E7B">
        <w:rPr>
          <w:rFonts w:eastAsia="Aptos"/>
        </w:rPr>
        <w:t xml:space="preserve"> risk of homelessness.</w:t>
      </w:r>
      <w:r w:rsidR="00B17091" w:rsidRPr="00D04E7B">
        <w:rPr>
          <w:rStyle w:val="FootnoteReference"/>
          <w:rFonts w:eastAsia="Aptos"/>
        </w:rPr>
        <w:footnoteReference w:id="10"/>
      </w:r>
      <w:r w:rsidR="00B17091" w:rsidRPr="00D04E7B">
        <w:rPr>
          <w:rFonts w:eastAsia="Aptos"/>
        </w:rPr>
        <w:t xml:space="preserve"> Many disabled </w:t>
      </w:r>
      <w:r w:rsidR="00B17091" w:rsidRPr="00D04E7B">
        <w:rPr>
          <w:rFonts w:eastAsia="Aptos"/>
        </w:rPr>
        <w:lastRenderedPageBreak/>
        <w:t>people—over 4 million nationwide—rely on Supplemental Security Income (SSI) benefits to meet their basic needs.</w:t>
      </w:r>
      <w:r w:rsidR="00B17091" w:rsidRPr="00D04E7B">
        <w:rPr>
          <w:rStyle w:val="FootnoteReference"/>
          <w:rFonts w:eastAsia="Aptos"/>
        </w:rPr>
        <w:footnoteReference w:id="11"/>
      </w:r>
      <w:r w:rsidR="00B17091" w:rsidRPr="00D04E7B">
        <w:rPr>
          <w:rFonts w:eastAsia="Aptos"/>
        </w:rPr>
        <w:t xml:space="preserve"> In an ongoing study of the housing market for people living on SSI, the Technical Assistance Collaborative found that “there is no United States housing market in which a person living solely on [SSI] can afford a safe, decent apartment without rental assistance.”</w:t>
      </w:r>
      <w:r w:rsidRPr="00D04E7B">
        <w:rPr>
          <w:rStyle w:val="FootnoteReference"/>
          <w:rFonts w:eastAsia="Aptos"/>
        </w:rPr>
        <w:footnoteReference w:id="12"/>
      </w:r>
      <w:r w:rsidRPr="00D04E7B">
        <w:rPr>
          <w:rFonts w:eastAsia="Aptos"/>
        </w:rPr>
        <w:t xml:space="preserve"> </w:t>
      </w:r>
      <w:r w:rsidR="00B17091" w:rsidRPr="00D04E7B">
        <w:t>This is particularly true in California, where</w:t>
      </w:r>
      <w:r w:rsidR="00B17091" w:rsidRPr="00D04E7B">
        <w:rPr>
          <w:color w:val="000000"/>
        </w:rPr>
        <w:t xml:space="preserve"> the average rent for a basic one-bedroom apartment is $1,39</w:t>
      </w:r>
      <w:r w:rsidR="0029142F" w:rsidRPr="00D04E7B">
        <w:rPr>
          <w:color w:val="000000"/>
        </w:rPr>
        <w:t>9</w:t>
      </w:r>
      <w:r w:rsidR="00B17091" w:rsidRPr="00D04E7B">
        <w:rPr>
          <w:color w:val="000000"/>
        </w:rPr>
        <w:t xml:space="preserve"> per month, which </w:t>
      </w:r>
      <w:r w:rsidRPr="00D04E7B">
        <w:rPr>
          <w:color w:val="000000"/>
        </w:rPr>
        <w:t>far exceeds the</w:t>
      </w:r>
      <w:r w:rsidR="00B17091" w:rsidRPr="00D04E7B">
        <w:rPr>
          <w:color w:val="000000"/>
        </w:rPr>
        <w:t xml:space="preserve"> $943 </w:t>
      </w:r>
      <w:r w:rsidRPr="00D04E7B">
        <w:rPr>
          <w:color w:val="000000"/>
        </w:rPr>
        <w:t xml:space="preserve">monthly maximum for </w:t>
      </w:r>
      <w:r w:rsidR="00B17091" w:rsidRPr="00D04E7B">
        <w:rPr>
          <w:color w:val="000000"/>
        </w:rPr>
        <w:t>an individua</w:t>
      </w:r>
      <w:r w:rsidRPr="00D04E7B">
        <w:rPr>
          <w:color w:val="000000"/>
        </w:rPr>
        <w:t>l receiving</w:t>
      </w:r>
      <w:r w:rsidR="00B17091" w:rsidRPr="00D04E7B">
        <w:rPr>
          <w:color w:val="000000"/>
        </w:rPr>
        <w:t xml:space="preserve"> SSI income.</w:t>
      </w:r>
      <w:r w:rsidR="00B17091" w:rsidRPr="00D04E7B">
        <w:rPr>
          <w:rStyle w:val="FootnoteReference"/>
          <w:rFonts w:eastAsiaTheme="majorEastAsia"/>
          <w:color w:val="000000"/>
        </w:rPr>
        <w:footnoteReference w:id="13"/>
      </w:r>
      <w:r w:rsidR="00B17091" w:rsidRPr="00D04E7B">
        <w:rPr>
          <w:rFonts w:eastAsia="Aptos"/>
        </w:rPr>
        <w:t xml:space="preserve"> Low wages and income instability leads to housing insecurity and homelessness. </w:t>
      </w:r>
    </w:p>
    <w:p w14:paraId="02B8E830" w14:textId="15546C19" w:rsidR="009A41FF" w:rsidRPr="00D04E7B" w:rsidRDefault="00EE7D19" w:rsidP="006E236A">
      <w:r w:rsidRPr="00D04E7B">
        <w:t>Many unhoused people with disabilities are older adults, which is one of the fastest growing age groups among people experiencing homelessness.</w:t>
      </w:r>
      <w:r w:rsidRPr="00D04E7B">
        <w:rPr>
          <w:rStyle w:val="FootnoteReference"/>
        </w:rPr>
        <w:footnoteReference w:id="14"/>
      </w:r>
      <w:r w:rsidRPr="00D04E7B">
        <w:t xml:space="preserve"> Increasingly, more people are experiencing homelessness</w:t>
      </w:r>
      <w:r w:rsidR="00B17091" w:rsidRPr="00D04E7B">
        <w:t xml:space="preserve"> for the first time after the age of 50</w:t>
      </w:r>
      <w:r w:rsidR="009A41FF" w:rsidRPr="00D04E7B">
        <w:t xml:space="preserve"> often due to </w:t>
      </w:r>
      <w:r w:rsidR="00BD2311" w:rsidRPr="00D04E7B">
        <w:t xml:space="preserve">the </w:t>
      </w:r>
      <w:r w:rsidR="009A41FF" w:rsidRPr="00D04E7B">
        <w:t>death of the family caregiver.</w:t>
      </w:r>
      <w:r w:rsidR="009A41FF" w:rsidRPr="00D04E7B">
        <w:rPr>
          <w:rStyle w:val="FootnoteReference"/>
        </w:rPr>
        <w:footnoteReference w:id="15"/>
      </w:r>
      <w:r w:rsidR="009A41FF" w:rsidRPr="00D04E7B">
        <w:t xml:space="preserve"> The growth of this older group means that more of the unhoused population </w:t>
      </w:r>
      <w:r w:rsidRPr="00D04E7B">
        <w:t>has</w:t>
      </w:r>
      <w:r w:rsidR="009A41FF" w:rsidRPr="00D04E7B">
        <w:t xml:space="preserve"> </w:t>
      </w:r>
      <w:r w:rsidR="79A6ED15" w:rsidRPr="00D04E7B">
        <w:t xml:space="preserve">disabilities </w:t>
      </w:r>
      <w:r w:rsidR="009A41FF" w:rsidRPr="00D04E7B">
        <w:t>and chronic health problems</w:t>
      </w:r>
      <w:r w:rsidR="79A6ED15" w:rsidRPr="00D04E7B">
        <w:t xml:space="preserve"> associated with aging</w:t>
      </w:r>
      <w:r w:rsidR="009A41FF" w:rsidRPr="00D04E7B">
        <w:t>.</w:t>
      </w:r>
      <w:r w:rsidR="009A41FF" w:rsidRPr="00D04E7B">
        <w:rPr>
          <w:rStyle w:val="FootnoteReference"/>
        </w:rPr>
        <w:footnoteReference w:id="16"/>
      </w:r>
      <w:r w:rsidR="009A41FF" w:rsidRPr="00D04E7B">
        <w:t xml:space="preserve"> Older adults who are unhoused have a higher prevalence and severity of memory loss, falls, difficulty performing daily tasks, cognitive impairments, functional impairments, and higher rates of mental health and substan</w:t>
      </w:r>
      <w:r w:rsidRPr="00D04E7B">
        <w:t>ce</w:t>
      </w:r>
      <w:r w:rsidR="009A41FF" w:rsidRPr="00D04E7B">
        <w:t xml:space="preserve"> use disorders, as compared to similar</w:t>
      </w:r>
      <w:r w:rsidR="00142EAE" w:rsidRPr="00D04E7B">
        <w:t>ly</w:t>
      </w:r>
      <w:r w:rsidR="009A41FF" w:rsidRPr="00D04E7B">
        <w:t xml:space="preserve"> aged individuals who are housed.</w:t>
      </w:r>
      <w:r w:rsidRPr="00D04E7B">
        <w:rPr>
          <w:rStyle w:val="FootnoteReference"/>
        </w:rPr>
        <w:footnoteReference w:id="17"/>
      </w:r>
      <w:r w:rsidR="009A41FF" w:rsidRPr="00D04E7B">
        <w:t xml:space="preserve"> As compared to younger adults who are unhoused, those over 50 years of age have higher rates of chronic illnesses, cognitive impairments, high blood pressure, arthritis, and functional disability.</w:t>
      </w:r>
      <w:r w:rsidR="009A41FF" w:rsidRPr="00D04E7B">
        <w:rPr>
          <w:rStyle w:val="FootnoteReference"/>
        </w:rPr>
        <w:footnoteReference w:id="18"/>
      </w:r>
      <w:r w:rsidR="009A41FF" w:rsidRPr="00D04E7B">
        <w:t xml:space="preserve"> </w:t>
      </w:r>
      <w:r w:rsidR="79A6ED15" w:rsidRPr="00D04E7B">
        <w:t>T</w:t>
      </w:r>
      <w:r w:rsidR="009A41FF" w:rsidRPr="00D04E7B">
        <w:t>he population of older adults who are unhouse</w:t>
      </w:r>
      <w:r w:rsidRPr="00D04E7B">
        <w:t>d</w:t>
      </w:r>
      <w:r w:rsidR="009A41FF" w:rsidRPr="00D04E7B">
        <w:t xml:space="preserve"> is expected to triple by 2030 in several major U.S. cities.</w:t>
      </w:r>
      <w:r w:rsidR="009A41FF" w:rsidRPr="00D04E7B">
        <w:rPr>
          <w:rStyle w:val="FootnoteReference"/>
        </w:rPr>
        <w:footnoteReference w:id="19"/>
      </w:r>
      <w:r w:rsidRPr="00D04E7B">
        <w:t xml:space="preserve"> </w:t>
      </w:r>
    </w:p>
    <w:p w14:paraId="76F3D543" w14:textId="1DFF0B2F" w:rsidR="009A41FF" w:rsidRPr="00D04E7B" w:rsidRDefault="00645F60" w:rsidP="006E236A">
      <w:r w:rsidRPr="00D04E7B">
        <w:t>Mental illness is an independent risk factor for homelessness. The two are linked by what some psychiatrists call a “never-ending loop” in which the two reinforce each other.</w:t>
      </w:r>
      <w:r w:rsidRPr="00D04E7B">
        <w:rPr>
          <w:rStyle w:val="FootnoteReference"/>
        </w:rPr>
        <w:footnoteReference w:id="20"/>
      </w:r>
      <w:r w:rsidRPr="00D04E7B">
        <w:t xml:space="preserve"> For instance, having </w:t>
      </w:r>
      <w:r w:rsidRPr="00D04E7B">
        <w:lastRenderedPageBreak/>
        <w:t xml:space="preserve">a psychiatric disability increases a person’s risk of eviction for a variety of compounding reasons. Mental illness can make it challenging to keep track of logistics like </w:t>
      </w:r>
      <w:r w:rsidR="00C04F4C" w:rsidRPr="00D04E7B">
        <w:t>when</w:t>
      </w:r>
      <w:r w:rsidRPr="00D04E7B">
        <w:t xml:space="preserve"> rent is due.</w:t>
      </w:r>
      <w:r w:rsidRPr="00D04E7B">
        <w:rPr>
          <w:rStyle w:val="FootnoteReference"/>
        </w:rPr>
        <w:footnoteReference w:id="21"/>
      </w:r>
      <w:r w:rsidRPr="00D04E7B">
        <w:t xml:space="preserve"> Certain mental illnesses may result in “hallucinations or other sensory distortions” that may be misinterpreted by both landlords and other tenants as aggressive or threatening behavior, resulting in a lease violation.</w:t>
      </w:r>
      <w:r w:rsidRPr="00D04E7B">
        <w:rPr>
          <w:rStyle w:val="FootnoteReference"/>
        </w:rPr>
        <w:footnoteReference w:id="22"/>
      </w:r>
      <w:r w:rsidRPr="00D04E7B">
        <w:t xml:space="preserve"> The eviction process itself poses further challenges. “[A] person with a psychiatric disorder may be less able to attend a court hearing or hire an attorney . . . or to adequately defend their case.”</w:t>
      </w:r>
      <w:r w:rsidRPr="00D04E7B">
        <w:rPr>
          <w:rStyle w:val="FootnoteReference"/>
        </w:rPr>
        <w:footnoteReference w:id="23"/>
      </w:r>
      <w:r w:rsidRPr="00D04E7B">
        <w:t xml:space="preserve"> </w:t>
      </w:r>
    </w:p>
    <w:p w14:paraId="365C9821" w14:textId="32576313" w:rsidR="00E95E68" w:rsidRPr="00D04E7B" w:rsidRDefault="00E95E68" w:rsidP="006E236A">
      <w:pPr>
        <w:rPr>
          <w:rFonts w:eastAsia="Aptos"/>
        </w:rPr>
      </w:pPr>
      <w:r w:rsidRPr="00D04E7B">
        <w:t xml:space="preserve">While </w:t>
      </w:r>
      <w:r w:rsidRPr="00D04E7B">
        <w:rPr>
          <w:rFonts w:eastAsia="Aptos"/>
        </w:rPr>
        <w:t xml:space="preserve">a disproportionate number of the unhoused population are disabled, research </w:t>
      </w:r>
      <w:r w:rsidR="00FB3980" w:rsidRPr="00D04E7B">
        <w:rPr>
          <w:rFonts w:eastAsia="Aptos"/>
        </w:rPr>
        <w:t xml:space="preserve">also </w:t>
      </w:r>
      <w:r w:rsidRPr="00D04E7B">
        <w:rPr>
          <w:rFonts w:eastAsia="Aptos"/>
        </w:rPr>
        <w:t xml:space="preserve">shows that </w:t>
      </w:r>
      <w:r w:rsidR="009A30A2" w:rsidRPr="00D04E7B">
        <w:rPr>
          <w:rFonts w:eastAsia="Aptos"/>
        </w:rPr>
        <w:t>rates of</w:t>
      </w:r>
      <w:r w:rsidRPr="00D04E7B">
        <w:rPr>
          <w:rFonts w:eastAsia="Aptos"/>
        </w:rPr>
        <w:t xml:space="preserve"> </w:t>
      </w:r>
      <w:r w:rsidR="00FB3980" w:rsidRPr="00D04E7B">
        <w:rPr>
          <w:rFonts w:eastAsia="Aptos"/>
        </w:rPr>
        <w:t>mental health disabilities</w:t>
      </w:r>
      <w:r w:rsidRPr="00D04E7B">
        <w:rPr>
          <w:rFonts w:eastAsia="Aptos"/>
        </w:rPr>
        <w:t xml:space="preserve"> do not</w:t>
      </w:r>
      <w:r w:rsidR="00B15984" w:rsidRPr="00D04E7B">
        <w:rPr>
          <w:rFonts w:eastAsia="Aptos"/>
        </w:rPr>
        <w:t xml:space="preserve"> </w:t>
      </w:r>
      <w:r w:rsidR="009A30A2" w:rsidRPr="00D04E7B">
        <w:rPr>
          <w:rFonts w:eastAsia="Aptos"/>
        </w:rPr>
        <w:t xml:space="preserve">correspond </w:t>
      </w:r>
      <w:r w:rsidR="79A6ED15" w:rsidRPr="00D04E7B">
        <w:t>to</w:t>
      </w:r>
      <w:r w:rsidR="009A30A2" w:rsidRPr="00D04E7B">
        <w:rPr>
          <w:rFonts w:eastAsia="Aptos"/>
        </w:rPr>
        <w:t xml:space="preserve"> rates of</w:t>
      </w:r>
      <w:r w:rsidRPr="00D04E7B">
        <w:rPr>
          <w:rFonts w:eastAsia="Aptos"/>
        </w:rPr>
        <w:t xml:space="preserve"> homelessness.</w:t>
      </w:r>
      <w:r w:rsidR="00FB3980" w:rsidRPr="00D04E7B">
        <w:rPr>
          <w:rStyle w:val="FootnoteReference"/>
          <w:rFonts w:eastAsia="Aptos"/>
        </w:rPr>
        <w:footnoteReference w:id="24"/>
      </w:r>
      <w:r w:rsidR="007103E5" w:rsidRPr="00D04E7B">
        <w:rPr>
          <w:rFonts w:eastAsia="Aptos"/>
        </w:rPr>
        <w:t xml:space="preserve"> In other words, </w:t>
      </w:r>
      <w:r w:rsidR="00FB3980" w:rsidRPr="00D04E7B">
        <w:rPr>
          <w:rFonts w:eastAsia="Aptos"/>
        </w:rPr>
        <w:t>higher numbers of people with mental health disabilities</w:t>
      </w:r>
      <w:r w:rsidR="007103E5" w:rsidRPr="00D04E7B">
        <w:rPr>
          <w:rFonts w:eastAsia="Aptos"/>
        </w:rPr>
        <w:t xml:space="preserve"> does not </w:t>
      </w:r>
      <w:r w:rsidR="00FB3980" w:rsidRPr="00D04E7B">
        <w:rPr>
          <w:rFonts w:eastAsia="Aptos"/>
        </w:rPr>
        <w:t xml:space="preserve">result in higher numbers of </w:t>
      </w:r>
      <w:r w:rsidRPr="00D04E7B">
        <w:rPr>
          <w:rFonts w:eastAsia="Aptos"/>
        </w:rPr>
        <w:t xml:space="preserve">homelessness. </w:t>
      </w:r>
      <w:r w:rsidR="00BB0253" w:rsidRPr="00D04E7B">
        <w:rPr>
          <w:rFonts w:eastAsia="Aptos"/>
        </w:rPr>
        <w:t>Rather,</w:t>
      </w:r>
      <w:r w:rsidR="00513DAF" w:rsidRPr="00D04E7B">
        <w:rPr>
          <w:rFonts w:eastAsia="Aptos"/>
        </w:rPr>
        <w:t xml:space="preserve"> rates of homelessness </w:t>
      </w:r>
      <w:r w:rsidR="00BB0253" w:rsidRPr="00D04E7B">
        <w:rPr>
          <w:rFonts w:eastAsia="Aptos"/>
        </w:rPr>
        <w:t xml:space="preserve">directly </w:t>
      </w:r>
      <w:r w:rsidR="00513DAF" w:rsidRPr="00D04E7B">
        <w:rPr>
          <w:rFonts w:eastAsia="Aptos"/>
        </w:rPr>
        <w:t xml:space="preserve">correlate </w:t>
      </w:r>
      <w:r w:rsidR="79A6ED15" w:rsidRPr="00D04E7B">
        <w:t xml:space="preserve">to area </w:t>
      </w:r>
      <w:r w:rsidR="00513DAF" w:rsidRPr="00D04E7B">
        <w:rPr>
          <w:rFonts w:eastAsia="Aptos"/>
        </w:rPr>
        <w:t>housing prices</w:t>
      </w:r>
      <w:r w:rsidR="00FB3980" w:rsidRPr="00D04E7B">
        <w:rPr>
          <w:rFonts w:eastAsia="Aptos"/>
        </w:rPr>
        <w:t>, thus cities with the highest rent and low availability of housing have higher numbers of unhoused people</w:t>
      </w:r>
      <w:r w:rsidRPr="00D04E7B">
        <w:rPr>
          <w:rFonts w:eastAsia="Aptos"/>
        </w:rPr>
        <w:t>.</w:t>
      </w:r>
      <w:r w:rsidRPr="00D04E7B">
        <w:rPr>
          <w:rFonts w:eastAsia="Aptos"/>
          <w:vertAlign w:val="superscript"/>
        </w:rPr>
        <w:footnoteReference w:id="25"/>
      </w:r>
      <w:r w:rsidRPr="00D04E7B">
        <w:rPr>
          <w:rFonts w:eastAsia="Aptos"/>
        </w:rPr>
        <w:t xml:space="preserve"> </w:t>
      </w:r>
      <w:r w:rsidR="79A6ED15" w:rsidRPr="00D04E7B">
        <w:t>W</w:t>
      </w:r>
      <w:r w:rsidR="00513DAF" w:rsidRPr="00D04E7B">
        <w:rPr>
          <w:rFonts w:eastAsia="Aptos"/>
        </w:rPr>
        <w:t xml:space="preserve">hile </w:t>
      </w:r>
      <w:r w:rsidRPr="00D04E7B">
        <w:rPr>
          <w:rFonts w:eastAsia="Aptos"/>
        </w:rPr>
        <w:t xml:space="preserve">disability may determine </w:t>
      </w:r>
      <w:r w:rsidRPr="00D04E7B">
        <w:rPr>
          <w:rFonts w:eastAsia="Aptos"/>
          <w:i/>
          <w:iCs/>
        </w:rPr>
        <w:t xml:space="preserve">who </w:t>
      </w:r>
      <w:r w:rsidRPr="00D04E7B">
        <w:rPr>
          <w:rFonts w:eastAsia="Aptos"/>
        </w:rPr>
        <w:t xml:space="preserve">becomes unhoused, </w:t>
      </w:r>
      <w:r w:rsidR="00513DAF" w:rsidRPr="00D04E7B">
        <w:rPr>
          <w:rFonts w:eastAsia="Aptos"/>
        </w:rPr>
        <w:t xml:space="preserve">it </w:t>
      </w:r>
      <w:r w:rsidRPr="00D04E7B">
        <w:rPr>
          <w:rFonts w:eastAsia="Aptos"/>
        </w:rPr>
        <w:t xml:space="preserve">is not a determinative factor in creating </w:t>
      </w:r>
      <w:proofErr w:type="gramStart"/>
      <w:r w:rsidRPr="00D04E7B">
        <w:rPr>
          <w:rFonts w:eastAsia="Aptos"/>
        </w:rPr>
        <w:t>homelessness</w:t>
      </w:r>
      <w:r w:rsidR="008158CD" w:rsidRPr="00D04E7B">
        <w:rPr>
          <w:rFonts w:eastAsia="Aptos"/>
        </w:rPr>
        <w:t xml:space="preserve"> as a whole</w:t>
      </w:r>
      <w:proofErr w:type="gramEnd"/>
      <w:r w:rsidRPr="00D04E7B">
        <w:rPr>
          <w:rFonts w:eastAsia="Aptos"/>
        </w:rPr>
        <w:t xml:space="preserve">. </w:t>
      </w:r>
      <w:r w:rsidR="00FB3980" w:rsidRPr="00D04E7B">
        <w:rPr>
          <w:rFonts w:eastAsia="Aptos"/>
        </w:rPr>
        <w:t>Rather, t</w:t>
      </w:r>
      <w:r w:rsidRPr="00D04E7B">
        <w:rPr>
          <w:rFonts w:eastAsia="Aptos"/>
        </w:rPr>
        <w:t xml:space="preserve">he </w:t>
      </w:r>
      <w:r w:rsidR="0069737E" w:rsidRPr="00D04E7B">
        <w:rPr>
          <w:rFonts w:eastAsia="Aptos"/>
        </w:rPr>
        <w:t>high</w:t>
      </w:r>
      <w:r w:rsidRPr="00D04E7B">
        <w:rPr>
          <w:rFonts w:eastAsia="Aptos"/>
        </w:rPr>
        <w:t xml:space="preserve"> cost of housing is driving vulnerable populations, such as those with </w:t>
      </w:r>
      <w:r w:rsidR="00670508" w:rsidRPr="00D04E7B">
        <w:rPr>
          <w:rFonts w:eastAsia="Aptos"/>
        </w:rPr>
        <w:t xml:space="preserve">physical and mental </w:t>
      </w:r>
      <w:r w:rsidR="00FB3980" w:rsidRPr="00D04E7B">
        <w:rPr>
          <w:rFonts w:eastAsia="Aptos"/>
        </w:rPr>
        <w:t xml:space="preserve">health </w:t>
      </w:r>
      <w:r w:rsidRPr="00D04E7B">
        <w:rPr>
          <w:rFonts w:eastAsia="Aptos"/>
        </w:rPr>
        <w:t>disabilities, into homelessness.</w:t>
      </w:r>
    </w:p>
    <w:p w14:paraId="375677DE" w14:textId="7B8FE70F" w:rsidR="00424CFE" w:rsidRPr="00D04E7B" w:rsidRDefault="00AB3B85" w:rsidP="00B0405B">
      <w:pPr>
        <w:pStyle w:val="Heading2"/>
      </w:pPr>
      <w:bookmarkStart w:id="13" w:name="_Toc185261675"/>
      <w:bookmarkStart w:id="14" w:name="_Toc185507583"/>
      <w:bookmarkStart w:id="15" w:name="_Toc187054515"/>
      <w:bookmarkStart w:id="16" w:name="_Toc187056501"/>
      <w:r w:rsidRPr="00D04E7B">
        <w:t>Criminalization of Homelessness</w:t>
      </w:r>
      <w:bookmarkEnd w:id="13"/>
      <w:bookmarkEnd w:id="14"/>
      <w:bookmarkEnd w:id="15"/>
      <w:bookmarkEnd w:id="16"/>
      <w:r w:rsidRPr="00D04E7B">
        <w:t xml:space="preserve"> </w:t>
      </w:r>
    </w:p>
    <w:p w14:paraId="5EDF9BF6" w14:textId="029F1C9B" w:rsidR="00821624" w:rsidRPr="00D04E7B" w:rsidRDefault="00F109CA" w:rsidP="006E236A">
      <w:r w:rsidRPr="00D04E7B">
        <w:t xml:space="preserve">Rather than </w:t>
      </w:r>
      <w:r w:rsidR="000C2DF3" w:rsidRPr="00D04E7B">
        <w:t>addressing homelessness with</w:t>
      </w:r>
      <w:r w:rsidRPr="00D04E7B">
        <w:t xml:space="preserve"> services and </w:t>
      </w:r>
      <w:r w:rsidR="79A6ED15" w:rsidRPr="00D04E7B">
        <w:t>housing</w:t>
      </w:r>
      <w:r w:rsidRPr="00D04E7B">
        <w:t>,</w:t>
      </w:r>
      <w:r w:rsidR="00F13ED5" w:rsidRPr="00D04E7B">
        <w:t xml:space="preserve"> cities throughout California are passing </w:t>
      </w:r>
      <w:r w:rsidR="00C80AF5" w:rsidRPr="00D04E7B">
        <w:t xml:space="preserve">harsh </w:t>
      </w:r>
      <w:r w:rsidR="00F13ED5" w:rsidRPr="00D04E7B">
        <w:t>laws to criminalize homelessness.</w:t>
      </w:r>
      <w:r w:rsidR="005E13AC" w:rsidRPr="00D04E7B">
        <w:t xml:space="preserve"> </w:t>
      </w:r>
      <w:r w:rsidR="00821624" w:rsidRPr="00D04E7B">
        <w:t xml:space="preserve">Prior to the Supreme Court’s decision in </w:t>
      </w:r>
      <w:r w:rsidR="00821624" w:rsidRPr="00D04E7B">
        <w:rPr>
          <w:i/>
          <w:iCs/>
        </w:rPr>
        <w:t>Grants Pass</w:t>
      </w:r>
      <w:r w:rsidR="00821624" w:rsidRPr="00D04E7B">
        <w:t>,</w:t>
      </w:r>
      <w:r w:rsidR="008E17CF" w:rsidRPr="00D04E7B">
        <w:t xml:space="preserve"> the</w:t>
      </w:r>
      <w:r w:rsidR="00821624" w:rsidRPr="00D04E7B">
        <w:t xml:space="preserve"> </w:t>
      </w:r>
      <w:r w:rsidR="00835BAF" w:rsidRPr="00D04E7B">
        <w:t>Ninth</w:t>
      </w:r>
      <w:r w:rsidRPr="00D04E7B">
        <w:t xml:space="preserve"> </w:t>
      </w:r>
      <w:r w:rsidR="00821624" w:rsidRPr="00D04E7B">
        <w:t>Circuit</w:t>
      </w:r>
      <w:r w:rsidR="00F32599" w:rsidRPr="00D04E7B">
        <w:t xml:space="preserve"> held</w:t>
      </w:r>
      <w:r w:rsidR="00821624" w:rsidRPr="00D04E7B">
        <w:t xml:space="preserve"> that criminally </w:t>
      </w:r>
      <w:r w:rsidR="00F32599" w:rsidRPr="00D04E7B">
        <w:t>punishing</w:t>
      </w:r>
      <w:r w:rsidR="00821624" w:rsidRPr="00D04E7B">
        <w:t xml:space="preserve"> a person who is involuntarily unhoused is cruel and unusual punishment because it criminalized people for their status of being unhoused.</w:t>
      </w:r>
      <w:r w:rsidR="00821624" w:rsidRPr="00D04E7B">
        <w:rPr>
          <w:rStyle w:val="FootnoteReference"/>
        </w:rPr>
        <w:footnoteReference w:id="26"/>
      </w:r>
      <w:r w:rsidR="00821624" w:rsidRPr="00D04E7B">
        <w:t xml:space="preserve"> Therefore, a city could not cite or arrest an individual </w:t>
      </w:r>
      <w:r w:rsidR="00361D8F" w:rsidRPr="00D04E7B">
        <w:t xml:space="preserve">involuntarily </w:t>
      </w:r>
      <w:r w:rsidR="00821624" w:rsidRPr="00D04E7B">
        <w:t xml:space="preserve">sleeping outside </w:t>
      </w:r>
      <w:r w:rsidR="001044B8" w:rsidRPr="00D04E7B">
        <w:t>because</w:t>
      </w:r>
      <w:r w:rsidR="00821624" w:rsidRPr="00D04E7B">
        <w:t xml:space="preserve"> shelter beds were not availabl</w:t>
      </w:r>
      <w:r w:rsidR="001044B8" w:rsidRPr="00D04E7B">
        <w:t>e</w:t>
      </w:r>
      <w:r w:rsidR="00821624" w:rsidRPr="00D04E7B">
        <w:t xml:space="preserve">. This prevented cities from criminalizing unhoused people and put pressure on cities to produce an adequate number of shelter spaces. However, in </w:t>
      </w:r>
      <w:r w:rsidR="00821624" w:rsidRPr="00D04E7B">
        <w:rPr>
          <w:i/>
          <w:iCs/>
        </w:rPr>
        <w:t>Grants Pass</w:t>
      </w:r>
      <w:r w:rsidR="00821624" w:rsidRPr="00D04E7B">
        <w:t xml:space="preserve">, the </w:t>
      </w:r>
      <w:r w:rsidR="00821624" w:rsidRPr="00D04E7B">
        <w:lastRenderedPageBreak/>
        <w:t xml:space="preserve">Supreme Court held 6-3 that the ordinances in question prohibited </w:t>
      </w:r>
      <w:r w:rsidR="00821624" w:rsidRPr="00D04E7B">
        <w:rPr>
          <w:i/>
          <w:iCs/>
        </w:rPr>
        <w:t>conduct</w:t>
      </w:r>
      <w:r w:rsidR="00821624" w:rsidRPr="00D04E7B">
        <w:t>, not the status of being unhoused</w:t>
      </w:r>
      <w:r w:rsidR="00264CA2" w:rsidRPr="00D04E7B">
        <w:t xml:space="preserve">, </w:t>
      </w:r>
      <w:r w:rsidR="00821624" w:rsidRPr="00D04E7B">
        <w:t>and their enforcement did not violate the 8th Amendment.</w:t>
      </w:r>
      <w:r w:rsidR="00821624" w:rsidRPr="00D04E7B">
        <w:rPr>
          <w:rStyle w:val="FootnoteReference"/>
        </w:rPr>
        <w:footnoteReference w:id="27"/>
      </w:r>
      <w:r w:rsidR="00821624" w:rsidRPr="00D04E7B">
        <w:t xml:space="preserve"> </w:t>
      </w:r>
    </w:p>
    <w:p w14:paraId="1352ACAE" w14:textId="5D8098E2" w:rsidR="00821624" w:rsidRPr="00D04E7B" w:rsidRDefault="001A09AF" w:rsidP="006E236A">
      <w:r w:rsidRPr="00D04E7B">
        <w:t xml:space="preserve">Without the restrictions previously imposed by the Ninth Circuit, municipalities can now cite, arrest, and criminalize unhoused people for sleeping outside, even when there is nowhere for them to go. </w:t>
      </w:r>
      <w:r w:rsidR="00821624" w:rsidRPr="00D04E7B">
        <w:t xml:space="preserve">Almost immediately after the decision came out, California cities started criminalizing unhoused people </w:t>
      </w:r>
      <w:r w:rsidR="005008E8" w:rsidRPr="00D04E7B">
        <w:t>regardless of whether</w:t>
      </w:r>
      <w:r w:rsidR="00821624" w:rsidRPr="00D04E7B">
        <w:t xml:space="preserve"> shelter</w:t>
      </w:r>
      <w:r w:rsidR="00A14370" w:rsidRPr="00D04E7B">
        <w:t xml:space="preserve"> was</w:t>
      </w:r>
      <w:r w:rsidR="00821624" w:rsidRPr="00D04E7B">
        <w:t xml:space="preserve"> available.</w:t>
      </w:r>
      <w:r w:rsidR="00B317F8" w:rsidRPr="00D04E7B">
        <w:rPr>
          <w:rStyle w:val="FootnoteReference"/>
        </w:rPr>
        <w:footnoteReference w:id="28"/>
      </w:r>
      <w:r w:rsidR="00821624" w:rsidRPr="00D04E7B">
        <w:t xml:space="preserve"> California Governor Gavin Newsom issued an executive order calling for the clearing of unhoused encampments and threatened to withhold funding from cities that did not comply.</w:t>
      </w:r>
      <w:r w:rsidR="00821624" w:rsidRPr="000C541E">
        <w:rPr>
          <w:rStyle w:val="FootnoteReference"/>
        </w:rPr>
        <w:footnoteReference w:id="29"/>
      </w:r>
      <w:r w:rsidR="00821624" w:rsidRPr="00D04E7B">
        <w:t xml:space="preserve"> </w:t>
      </w:r>
    </w:p>
    <w:p w14:paraId="5BF8CA6C" w14:textId="02A38AF3" w:rsidR="007F5410" w:rsidRPr="00D04E7B" w:rsidRDefault="00496514" w:rsidP="006E236A">
      <w:r w:rsidRPr="00D04E7B">
        <w:t xml:space="preserve">Criminalization laws often </w:t>
      </w:r>
      <w:r w:rsidR="00270A84" w:rsidRPr="00D04E7B">
        <w:t xml:space="preserve">restrict </w:t>
      </w:r>
      <w:r w:rsidR="79A6ED15" w:rsidRPr="00D04E7B">
        <w:t xml:space="preserve">where, </w:t>
      </w:r>
      <w:r w:rsidR="00553A14" w:rsidRPr="00D04E7B">
        <w:t>when, and how an unhoused person can exist outs</w:t>
      </w:r>
      <w:r w:rsidR="004617B7" w:rsidRPr="00D04E7B">
        <w:t>ide</w:t>
      </w:r>
      <w:r w:rsidR="00BB602C" w:rsidRPr="00D04E7B">
        <w:t>, which often impose</w:t>
      </w:r>
      <w:r w:rsidR="79A6ED15" w:rsidRPr="00D04E7B">
        <w:t>s</w:t>
      </w:r>
      <w:r w:rsidR="00241DDD" w:rsidRPr="00D04E7B">
        <w:t xml:space="preserve"> a disproportionate burden on people with disabilities.</w:t>
      </w:r>
      <w:r w:rsidR="00270A84" w:rsidRPr="00D04E7B">
        <w:t xml:space="preserve"> </w:t>
      </w:r>
      <w:r w:rsidR="79A6ED15" w:rsidRPr="00D04E7B">
        <w:t>Ordinances may ban</w:t>
      </w:r>
      <w:r w:rsidR="000B3943" w:rsidRPr="00D04E7B">
        <w:t xml:space="preserve"> camping or sleeping </w:t>
      </w:r>
      <w:r w:rsidR="005B1CCC" w:rsidRPr="00D04E7B">
        <w:t xml:space="preserve">on public or private property, or </w:t>
      </w:r>
      <w:r w:rsidR="000B3943" w:rsidRPr="00D04E7B">
        <w:t xml:space="preserve">in </w:t>
      </w:r>
      <w:r w:rsidR="003D6BE7" w:rsidRPr="00D04E7B">
        <w:t>areas</w:t>
      </w:r>
      <w:r w:rsidR="0086741B" w:rsidRPr="00D04E7B">
        <w:t xml:space="preserve"> cons</w:t>
      </w:r>
      <w:r w:rsidR="008F3FAF" w:rsidRPr="00D04E7B">
        <w:t xml:space="preserve">idered sensitive, such as </w:t>
      </w:r>
      <w:r w:rsidR="00424576" w:rsidRPr="00D04E7B">
        <w:t>near schools or “critical infrastructure”</w:t>
      </w:r>
      <w:r w:rsidR="005B1CCC" w:rsidRPr="00D04E7B">
        <w:t>.</w:t>
      </w:r>
      <w:r w:rsidR="00DE3D27" w:rsidRPr="00D04E7B">
        <w:t xml:space="preserve"> </w:t>
      </w:r>
      <w:r w:rsidR="79A6ED15" w:rsidRPr="00D04E7B">
        <w:t xml:space="preserve">Laws </w:t>
      </w:r>
      <w:r w:rsidR="005F2462" w:rsidRPr="00D04E7B">
        <w:t xml:space="preserve">may also </w:t>
      </w:r>
      <w:r w:rsidR="79A6ED15" w:rsidRPr="00D04E7B">
        <w:t xml:space="preserve">bar </w:t>
      </w:r>
      <w:r w:rsidR="005F2462" w:rsidRPr="00D04E7B">
        <w:t>ca</w:t>
      </w:r>
      <w:r w:rsidR="004E5B6A" w:rsidRPr="00D04E7B">
        <w:t xml:space="preserve">mping </w:t>
      </w:r>
      <w:proofErr w:type="gramStart"/>
      <w:r w:rsidR="004E5B6A" w:rsidRPr="00D04E7B">
        <w:t>in close proximity to</w:t>
      </w:r>
      <w:proofErr w:type="gramEnd"/>
      <w:r w:rsidR="004E5B6A" w:rsidRPr="00D04E7B">
        <w:t xml:space="preserve"> other tent</w:t>
      </w:r>
      <w:r w:rsidR="00FF00E6" w:rsidRPr="00D04E7B">
        <w:t xml:space="preserve">s. </w:t>
      </w:r>
      <w:r w:rsidR="006A392A" w:rsidRPr="00D04E7B">
        <w:t>Criminalization laws may also include temporal limitations, such as daytime camping bans</w:t>
      </w:r>
      <w:r w:rsidR="009A7D9B" w:rsidRPr="00D04E7B">
        <w:t xml:space="preserve"> or limits on how long someone can stay in one place. </w:t>
      </w:r>
      <w:r w:rsidR="00B317F8" w:rsidRPr="00D04E7B">
        <w:t xml:space="preserve">For example, </w:t>
      </w:r>
      <w:r w:rsidR="000B2BCC" w:rsidRPr="00D04E7B">
        <w:t xml:space="preserve">San Joaquin County </w:t>
      </w:r>
      <w:r w:rsidR="004D2952" w:rsidRPr="00D04E7B">
        <w:t xml:space="preserve">passed </w:t>
      </w:r>
      <w:r w:rsidR="0022012E" w:rsidRPr="00D04E7B">
        <w:t xml:space="preserve">an ordinance </w:t>
      </w:r>
      <w:r w:rsidR="00DF2B50" w:rsidRPr="00D04E7B">
        <w:t>prohibiting the use of tents or bedding in one place for</w:t>
      </w:r>
      <w:r w:rsidR="0022012E" w:rsidRPr="00D04E7B">
        <w:t xml:space="preserve"> mo</w:t>
      </w:r>
      <w:r w:rsidR="00DF2B50" w:rsidRPr="00D04E7B">
        <w:t>r</w:t>
      </w:r>
      <w:r w:rsidR="0022012E" w:rsidRPr="00D04E7B">
        <w:t xml:space="preserve">e </w:t>
      </w:r>
      <w:r w:rsidR="00CA27CB" w:rsidRPr="00D04E7B">
        <w:t>than</w:t>
      </w:r>
      <w:r w:rsidR="0022012E" w:rsidRPr="00D04E7B">
        <w:t xml:space="preserve"> 60 minutes.</w:t>
      </w:r>
      <w:r w:rsidR="0022012E" w:rsidRPr="00D04E7B">
        <w:rPr>
          <w:rStyle w:val="FootnoteReference"/>
        </w:rPr>
        <w:footnoteReference w:id="30"/>
      </w:r>
      <w:r w:rsidR="0022012E" w:rsidRPr="00D04E7B">
        <w:t xml:space="preserve"> </w:t>
      </w:r>
      <w:r w:rsidR="00B317F8" w:rsidRPr="00D04E7B">
        <w:t>Meanwhile, Fresno passed a municipal code that makes it unlawful to “…sit, lie, sleep, or camp on a public place at any time.”</w:t>
      </w:r>
      <w:r w:rsidR="00B317F8" w:rsidRPr="00D04E7B">
        <w:rPr>
          <w:rStyle w:val="FootnoteReference"/>
        </w:rPr>
        <w:footnoteReference w:id="31"/>
      </w:r>
      <w:r w:rsidR="00B317F8" w:rsidRPr="00D04E7B">
        <w:t xml:space="preserve"> </w:t>
      </w:r>
      <w:r w:rsidR="00CE4B5C" w:rsidRPr="00D04E7B">
        <w:t>Other common restrictions include</w:t>
      </w:r>
      <w:r w:rsidR="005C6332" w:rsidRPr="00D04E7B">
        <w:t xml:space="preserve"> </w:t>
      </w:r>
      <w:r w:rsidR="00CE4B5C" w:rsidRPr="00D04E7B">
        <w:t>prohibitions on the use of</w:t>
      </w:r>
      <w:r w:rsidR="005C6332" w:rsidRPr="00D04E7B">
        <w:t xml:space="preserve"> </w:t>
      </w:r>
      <w:r w:rsidR="00FC5E68" w:rsidRPr="00D04E7B">
        <w:t>sleeping bags</w:t>
      </w:r>
      <w:r w:rsidR="00CE4B5C" w:rsidRPr="00D04E7B">
        <w:t>;</w:t>
      </w:r>
      <w:r w:rsidR="005C6332" w:rsidRPr="00D04E7B">
        <w:t xml:space="preserve"> </w:t>
      </w:r>
      <w:r w:rsidR="00850DDB" w:rsidRPr="00D04E7B">
        <w:t>limits on the number of people who can camp together</w:t>
      </w:r>
      <w:r w:rsidR="00CE4B5C" w:rsidRPr="00D04E7B">
        <w:t xml:space="preserve">; limits on the amount of </w:t>
      </w:r>
      <w:r w:rsidR="00C241DC" w:rsidRPr="00D04E7B">
        <w:t>space a person can occupy; and limits on how many items, such as tents, one person may have.</w:t>
      </w:r>
    </w:p>
    <w:p w14:paraId="7CB97D29" w14:textId="269917EA" w:rsidR="008A11EB" w:rsidRPr="00D04E7B" w:rsidRDefault="00F109CA" w:rsidP="006E236A">
      <w:r w:rsidRPr="00D04E7B">
        <w:t xml:space="preserve">The failure to comply with these laws can lead to steep fines and prison sentences. </w:t>
      </w:r>
      <w:r w:rsidR="004F2142" w:rsidRPr="00D04E7B">
        <w:t>For instance, a</w:t>
      </w:r>
      <w:r w:rsidR="00983177" w:rsidRPr="00D04E7B">
        <w:t xml:space="preserve"> violation of </w:t>
      </w:r>
      <w:r w:rsidR="00673997" w:rsidRPr="00D04E7B">
        <w:t xml:space="preserve">San Joaquin’s ordinance </w:t>
      </w:r>
      <w:r w:rsidR="00983177" w:rsidRPr="00D04E7B">
        <w:t>comes with a fine of up to $1,000 and/or six months in jail.</w:t>
      </w:r>
      <w:r w:rsidR="00983177" w:rsidRPr="00D04E7B">
        <w:rPr>
          <w:rStyle w:val="FootnoteReference"/>
        </w:rPr>
        <w:footnoteReference w:id="32"/>
      </w:r>
      <w:r w:rsidR="00983177" w:rsidRPr="00D04E7B">
        <w:t xml:space="preserve"> </w:t>
      </w:r>
      <w:r w:rsidR="79A6ED15" w:rsidRPr="00D04E7B">
        <w:t xml:space="preserve">An unhoused </w:t>
      </w:r>
      <w:r w:rsidR="00667FC2" w:rsidRPr="00D04E7B">
        <w:t xml:space="preserve">person </w:t>
      </w:r>
      <w:r w:rsidR="79A6ED15" w:rsidRPr="00D04E7B">
        <w:t xml:space="preserve">who </w:t>
      </w:r>
      <w:r w:rsidR="00667FC2" w:rsidRPr="00D04E7B">
        <w:t xml:space="preserve">does not </w:t>
      </w:r>
      <w:r w:rsidR="79A6ED15" w:rsidRPr="00D04E7B">
        <w:t xml:space="preserve">relocate </w:t>
      </w:r>
      <w:r w:rsidR="00667FC2" w:rsidRPr="00D04E7B">
        <w:t xml:space="preserve">for a few days can </w:t>
      </w:r>
      <w:r w:rsidR="00B0550B" w:rsidRPr="00D04E7B">
        <w:t xml:space="preserve">easily </w:t>
      </w:r>
      <w:r w:rsidR="00667FC2" w:rsidRPr="00D04E7B">
        <w:t xml:space="preserve">accumulate tens of thousands of </w:t>
      </w:r>
      <w:r w:rsidR="00667FC2" w:rsidRPr="00D04E7B">
        <w:lastRenderedPageBreak/>
        <w:t>dollars in fines and</w:t>
      </w:r>
      <w:r w:rsidR="00B0550B" w:rsidRPr="00D04E7B">
        <w:t>/or</w:t>
      </w:r>
      <w:r w:rsidR="00667FC2" w:rsidRPr="00D04E7B">
        <w:t xml:space="preserve"> be </w:t>
      </w:r>
      <w:r w:rsidR="00B0550B" w:rsidRPr="00D04E7B">
        <w:t>imprisoned</w:t>
      </w:r>
      <w:r w:rsidR="00667FC2" w:rsidRPr="00D04E7B">
        <w:t xml:space="preserve">. </w:t>
      </w:r>
      <w:r w:rsidR="0071435D" w:rsidRPr="00D04E7B">
        <w:t>Because it may be more difficult for people with disabilities to comply with these laws,</w:t>
      </w:r>
      <w:r w:rsidR="00F91174">
        <w:t xml:space="preserve"> </w:t>
      </w:r>
      <w:r w:rsidR="0071435D" w:rsidRPr="00D04E7B">
        <w:t>they may be more likely to be incarcerated and fined, thus making it even harder to break</w:t>
      </w:r>
      <w:r w:rsidR="000D08C2" w:rsidRPr="00D04E7B">
        <w:t xml:space="preserve"> out of homelessness.</w:t>
      </w:r>
      <w:r w:rsidR="00D73E4E" w:rsidRPr="00D04E7B">
        <w:t xml:space="preserve"> </w:t>
      </w:r>
      <w:r w:rsidR="000D08C2" w:rsidRPr="00D04E7B">
        <w:t xml:space="preserve">The experience of criminalization may also </w:t>
      </w:r>
      <w:r w:rsidR="00205E81" w:rsidRPr="00D04E7B">
        <w:t xml:space="preserve">exacerbate a person’s disabilities or </w:t>
      </w:r>
      <w:r w:rsidR="0008649B" w:rsidRPr="00D04E7B">
        <w:t xml:space="preserve">even </w:t>
      </w:r>
      <w:r w:rsidR="00605604" w:rsidRPr="00D04E7B">
        <w:t>cause an</w:t>
      </w:r>
      <w:r w:rsidR="008A11EB" w:rsidRPr="00D04E7B">
        <w:t xml:space="preserve"> </w:t>
      </w:r>
      <w:r w:rsidR="00AF641A" w:rsidRPr="00D04E7B">
        <w:t xml:space="preserve">unhoused </w:t>
      </w:r>
      <w:r w:rsidR="008A11EB" w:rsidRPr="00D04E7B">
        <w:t xml:space="preserve">person </w:t>
      </w:r>
      <w:r w:rsidR="000D08C2" w:rsidRPr="00D04E7B">
        <w:t xml:space="preserve">to </w:t>
      </w:r>
      <w:r w:rsidR="000C5C2A" w:rsidRPr="00D04E7B">
        <w:t>acquire disabilities</w:t>
      </w:r>
      <w:r w:rsidR="008A11EB" w:rsidRPr="00D04E7B">
        <w:t>.</w:t>
      </w:r>
      <w:r w:rsidR="000C5C2A" w:rsidRPr="00D04E7B">
        <w:t xml:space="preserve"> </w:t>
      </w:r>
      <w:r w:rsidR="00605604" w:rsidRPr="00D04E7B">
        <w:t>Criminalization</w:t>
      </w:r>
      <w:r w:rsidR="0071435D" w:rsidRPr="00D04E7B">
        <w:t xml:space="preserve"> laws rarely, if ever, taken into consideration disabled people and the difficulties they may face in complying with the law. </w:t>
      </w:r>
    </w:p>
    <w:p w14:paraId="429BD075" w14:textId="7D4C7635" w:rsidR="00E95E68" w:rsidRPr="00D04E7B" w:rsidRDefault="00C47F51" w:rsidP="006E236A">
      <w:r w:rsidRPr="00D04E7B">
        <w:t xml:space="preserve">The criminalization of unhoused people includes encampment sweeps, the process whereby cities </w:t>
      </w:r>
      <w:r w:rsidR="5A3FE6F3" w:rsidRPr="00D04E7B">
        <w:t xml:space="preserve">physically </w:t>
      </w:r>
      <w:r w:rsidRPr="00D04E7B">
        <w:t xml:space="preserve">displace unhoused people and remove their personal belongings. </w:t>
      </w:r>
      <w:r w:rsidR="006E236A">
        <w:t xml:space="preserve">In October 2024, </w:t>
      </w:r>
      <w:r w:rsidR="00B014E9" w:rsidRPr="00D04E7B">
        <w:t xml:space="preserve">ProPublica </w:t>
      </w:r>
      <w:r w:rsidR="006E236A">
        <w:t>i</w:t>
      </w:r>
      <w:r w:rsidR="00B014E9" w:rsidRPr="00D04E7B">
        <w:t xml:space="preserve">nvestigated encampment sweeps happening across the country, including </w:t>
      </w:r>
      <w:r w:rsidR="006E236A">
        <w:t xml:space="preserve">in </w:t>
      </w:r>
      <w:r w:rsidR="00B014E9" w:rsidRPr="00D04E7B">
        <w:t xml:space="preserve">Sacramento, </w:t>
      </w:r>
      <w:r w:rsidR="00DF7CA9" w:rsidRPr="00D04E7B">
        <w:t xml:space="preserve">San Diego, </w:t>
      </w:r>
      <w:r w:rsidR="00B014E9" w:rsidRPr="00D04E7B">
        <w:t>San Francisco, San Jose, and Los Angeles.</w:t>
      </w:r>
      <w:r w:rsidR="00DF7CA9" w:rsidRPr="00D04E7B">
        <w:rPr>
          <w:rStyle w:val="FootnoteReference"/>
        </w:rPr>
        <w:footnoteReference w:id="33"/>
      </w:r>
      <w:r w:rsidRPr="00D04E7B">
        <w:t xml:space="preserve"> Th</w:t>
      </w:r>
      <w:r w:rsidR="00B014E9" w:rsidRPr="00D04E7B">
        <w:t xml:space="preserve">e investigation found cities routinely dispose of possessions essential to people with disabilities, including medications, </w:t>
      </w:r>
      <w:r w:rsidR="00DF7CA9" w:rsidRPr="00D04E7B">
        <w:t xml:space="preserve">inhalers, insulin, nebulizers, mood stabilizers, eyeglasses, oxygen </w:t>
      </w:r>
      <w:r w:rsidR="7137271A" w:rsidRPr="00D04E7B">
        <w:t>tank</w:t>
      </w:r>
      <w:r w:rsidR="007658E5" w:rsidRPr="00D04E7B">
        <w:t>s</w:t>
      </w:r>
      <w:r w:rsidR="00DF7CA9" w:rsidRPr="00D04E7B">
        <w:t>, CPAP</w:t>
      </w:r>
      <w:r w:rsidR="006E236A">
        <w:t xml:space="preserve"> (continuous positive airway pressure)</w:t>
      </w:r>
      <w:r w:rsidR="00DF7CA9" w:rsidRPr="00D04E7B">
        <w:t xml:space="preserve"> machines, </w:t>
      </w:r>
      <w:r w:rsidR="00B014E9" w:rsidRPr="00D04E7B">
        <w:t xml:space="preserve">wheelchairs, </w:t>
      </w:r>
      <w:r w:rsidR="00B53081" w:rsidRPr="00D04E7B">
        <w:t>and</w:t>
      </w:r>
      <w:r w:rsidR="7137271A" w:rsidRPr="00D04E7B">
        <w:t xml:space="preserve"> </w:t>
      </w:r>
      <w:r w:rsidR="00B014E9" w:rsidRPr="00D04E7B">
        <w:t>walkers.</w:t>
      </w:r>
      <w:r w:rsidR="00B53081" w:rsidRPr="00D04E7B">
        <w:rPr>
          <w:rStyle w:val="FootnoteReference"/>
        </w:rPr>
        <w:footnoteReference w:id="34"/>
      </w:r>
      <w:r w:rsidR="00DF7CA9" w:rsidRPr="00D04E7B">
        <w:t xml:space="preserve"> The loss of these essential items may prevent a person from managing their disability and exacerbate their condition.</w:t>
      </w:r>
      <w:r w:rsidR="00B014E9" w:rsidRPr="00D04E7B">
        <w:t xml:space="preserve"> People also lost government identification and other essential documents that may be needed to obtain </w:t>
      </w:r>
      <w:r w:rsidR="5A3FE6F3" w:rsidRPr="00D04E7B">
        <w:t>S</w:t>
      </w:r>
      <w:r w:rsidR="00B014E9" w:rsidRPr="00D04E7B">
        <w:t xml:space="preserve">ocial </w:t>
      </w:r>
      <w:r w:rsidR="5A3FE6F3" w:rsidRPr="00D04E7B">
        <w:t>S</w:t>
      </w:r>
      <w:r w:rsidR="00B014E9" w:rsidRPr="00D04E7B">
        <w:t>ecurity and other benefits.</w:t>
      </w:r>
      <w:r w:rsidR="00DF7CA9" w:rsidRPr="00D04E7B">
        <w:t xml:space="preserve"> </w:t>
      </w:r>
      <w:r w:rsidR="003A470F" w:rsidRPr="00D04E7B">
        <w:t>R</w:t>
      </w:r>
      <w:r w:rsidR="00DF7CA9" w:rsidRPr="00D04E7B">
        <w:t xml:space="preserve">eplacing these items </w:t>
      </w:r>
      <w:r w:rsidR="5A3FE6F3" w:rsidRPr="00D04E7B">
        <w:t>is</w:t>
      </w:r>
      <w:r w:rsidR="00DF7CA9" w:rsidRPr="00D04E7B">
        <w:t xml:space="preserve"> difficult</w:t>
      </w:r>
      <w:r w:rsidR="003A470F" w:rsidRPr="00D04E7B">
        <w:t xml:space="preserve">, </w:t>
      </w:r>
      <w:r w:rsidR="00DF7CA9" w:rsidRPr="00D04E7B">
        <w:t>costly</w:t>
      </w:r>
      <w:r w:rsidR="003A470F" w:rsidRPr="00D04E7B">
        <w:t xml:space="preserve">, and </w:t>
      </w:r>
      <w:r w:rsidR="5A3FE6F3" w:rsidRPr="00D04E7B">
        <w:t>time-consuming</w:t>
      </w:r>
      <w:r w:rsidR="7137271A" w:rsidRPr="00D04E7B">
        <w:t>.</w:t>
      </w:r>
    </w:p>
    <w:p w14:paraId="341F9BD9" w14:textId="39CF9870" w:rsidR="00F5627B" w:rsidRPr="00E95C1C" w:rsidRDefault="79A6ED15" w:rsidP="00E95C1C">
      <w:pPr>
        <w:pStyle w:val="Heading1"/>
      </w:pPr>
      <w:bookmarkStart w:id="17" w:name="_Toc185261676"/>
      <w:bookmarkStart w:id="18" w:name="_Toc185507584"/>
      <w:bookmarkStart w:id="19" w:name="_Toc187054516"/>
      <w:bookmarkStart w:id="20" w:name="_Toc187056502"/>
      <w:r w:rsidRPr="00E95C1C">
        <w:t>Chapter 2: Disability Law</w:t>
      </w:r>
      <w:bookmarkEnd w:id="17"/>
      <w:bookmarkEnd w:id="18"/>
      <w:bookmarkEnd w:id="19"/>
      <w:bookmarkEnd w:id="20"/>
      <w:r w:rsidRPr="00E95C1C">
        <w:t xml:space="preserve"> </w:t>
      </w:r>
    </w:p>
    <w:p w14:paraId="46EF2D3E" w14:textId="769458CD" w:rsidR="00B4445F" w:rsidRPr="00AF6496" w:rsidRDefault="00B4445F" w:rsidP="00B0405B">
      <w:pPr>
        <w:pStyle w:val="Heading2"/>
      </w:pPr>
      <w:bookmarkStart w:id="21" w:name="_Toc185261677"/>
      <w:bookmarkStart w:id="22" w:name="_Toc185507585"/>
      <w:bookmarkStart w:id="23" w:name="_Toc187054517"/>
      <w:bookmarkStart w:id="24" w:name="_Toc187056503"/>
      <w:r w:rsidRPr="00AF6496">
        <w:t>Americans with Disabilities Act</w:t>
      </w:r>
      <w:bookmarkEnd w:id="21"/>
      <w:bookmarkEnd w:id="22"/>
      <w:bookmarkEnd w:id="23"/>
      <w:bookmarkEnd w:id="24"/>
      <w:r w:rsidRPr="00AF6496">
        <w:t xml:space="preserve"> </w:t>
      </w:r>
    </w:p>
    <w:p w14:paraId="68948527" w14:textId="5BE3CB34" w:rsidR="0019358A" w:rsidRPr="00D04E7B" w:rsidRDefault="009A4E43" w:rsidP="006E236A">
      <w:r w:rsidRPr="00D04E7B">
        <w:t>The A</w:t>
      </w:r>
      <w:r w:rsidR="0066247E" w:rsidRPr="00D04E7B">
        <w:t>DA</w:t>
      </w:r>
      <w:r w:rsidRPr="00D04E7B">
        <w:t xml:space="preserve"> prohibits discrimination against individuals with disabilities in various areas, including employment, public accommodations, transportation, and telecommunications</w:t>
      </w:r>
      <w:r w:rsidR="002662A1" w:rsidRPr="00D04E7B">
        <w:t>. Under Title II of the ADA, state and local governments may not discriminate against people with disabilities.</w:t>
      </w:r>
      <w:r w:rsidR="002662A1" w:rsidRPr="00D04E7B">
        <w:rPr>
          <w:rStyle w:val="FootnoteReference"/>
        </w:rPr>
        <w:footnoteReference w:id="35"/>
      </w:r>
      <w:r w:rsidR="002662A1" w:rsidRPr="00D04E7B">
        <w:t xml:space="preserve"> </w:t>
      </w:r>
      <w:r w:rsidR="0019358A" w:rsidRPr="00D04E7B">
        <w:t xml:space="preserve">Title II of the ADA is an important tool for challenging </w:t>
      </w:r>
      <w:r w:rsidR="00910677" w:rsidRPr="00D04E7B">
        <w:t>local anti-camping ordinances</w:t>
      </w:r>
      <w:r w:rsidR="005E629B" w:rsidRPr="00D04E7B">
        <w:t xml:space="preserve"> </w:t>
      </w:r>
      <w:r w:rsidR="79A6ED15" w:rsidRPr="00D04E7B">
        <w:t>that discriminate against unhoused disabled people</w:t>
      </w:r>
      <w:r w:rsidR="00910677" w:rsidRPr="00D04E7B">
        <w:t xml:space="preserve">. </w:t>
      </w:r>
    </w:p>
    <w:p w14:paraId="3382681A" w14:textId="071D23D9" w:rsidR="002662A1" w:rsidRPr="00D04E7B" w:rsidRDefault="002662A1" w:rsidP="000C541E">
      <w:pPr>
        <w:spacing w:after="0"/>
      </w:pPr>
      <w:r w:rsidRPr="00D04E7B">
        <w:lastRenderedPageBreak/>
        <w:t>To state a claim for disability discrimination under the Title II of the ADA, an individual must show</w:t>
      </w:r>
      <w:r w:rsidR="00DB1C8A" w:rsidRPr="00D04E7B">
        <w:t>:</w:t>
      </w:r>
    </w:p>
    <w:p w14:paraId="2CE07CA5" w14:textId="54173A0F" w:rsidR="002662A1" w:rsidRPr="000C541E" w:rsidRDefault="00417B8F" w:rsidP="000C541E">
      <w:pPr>
        <w:pStyle w:val="ListParagraph"/>
        <w:numPr>
          <w:ilvl w:val="0"/>
          <w:numId w:val="11"/>
        </w:numPr>
        <w:spacing w:after="360"/>
        <w:rPr>
          <w:rFonts w:ascii="Myriad Pro" w:hAnsi="Myriad Pro"/>
          <w:sz w:val="24"/>
          <w:szCs w:val="24"/>
        </w:rPr>
      </w:pPr>
      <w:r w:rsidRPr="000C541E">
        <w:rPr>
          <w:rFonts w:ascii="Myriad Pro" w:hAnsi="Myriad Pro"/>
          <w:sz w:val="24"/>
          <w:szCs w:val="24"/>
        </w:rPr>
        <w:t>They h</w:t>
      </w:r>
      <w:r w:rsidR="00DB1C8A" w:rsidRPr="000C541E">
        <w:rPr>
          <w:rFonts w:ascii="Myriad Pro" w:hAnsi="Myriad Pro"/>
          <w:sz w:val="24"/>
          <w:szCs w:val="24"/>
        </w:rPr>
        <w:t>ave a disability</w:t>
      </w:r>
      <w:r w:rsidR="00A438B7" w:rsidRPr="000C541E">
        <w:rPr>
          <w:rFonts w:ascii="Myriad Pro" w:hAnsi="Myriad Pro"/>
          <w:sz w:val="24"/>
          <w:szCs w:val="24"/>
        </w:rPr>
        <w:t>,</w:t>
      </w:r>
    </w:p>
    <w:p w14:paraId="3B1A9F8E" w14:textId="515816C7" w:rsidR="002662A1" w:rsidRPr="000C541E" w:rsidRDefault="79A6ED15" w:rsidP="000C541E">
      <w:pPr>
        <w:pStyle w:val="ListParagraph"/>
        <w:numPr>
          <w:ilvl w:val="0"/>
          <w:numId w:val="11"/>
        </w:numPr>
        <w:spacing w:after="360"/>
        <w:rPr>
          <w:rFonts w:ascii="Myriad Pro" w:hAnsi="Myriad Pro"/>
          <w:sz w:val="24"/>
          <w:szCs w:val="24"/>
        </w:rPr>
      </w:pPr>
      <w:r w:rsidRPr="000C541E">
        <w:rPr>
          <w:rFonts w:ascii="Myriad Pro" w:hAnsi="Myriad Pro"/>
          <w:sz w:val="24"/>
          <w:szCs w:val="24"/>
        </w:rPr>
        <w:t>They are eligible to receive services or to participate in programs or activities of a public entity,</w:t>
      </w:r>
    </w:p>
    <w:p w14:paraId="0767EDB8" w14:textId="40C3B503" w:rsidR="002662A1" w:rsidRPr="000C541E" w:rsidRDefault="5A3FE6F3" w:rsidP="000C541E">
      <w:pPr>
        <w:pStyle w:val="ListParagraph"/>
        <w:numPr>
          <w:ilvl w:val="0"/>
          <w:numId w:val="11"/>
        </w:numPr>
        <w:spacing w:after="360"/>
        <w:rPr>
          <w:rFonts w:ascii="Myriad Pro" w:hAnsi="Myriad Pro"/>
          <w:sz w:val="24"/>
          <w:szCs w:val="24"/>
        </w:rPr>
      </w:pPr>
      <w:r w:rsidRPr="000C541E">
        <w:rPr>
          <w:rFonts w:ascii="Myriad Pro" w:hAnsi="Myriad Pro"/>
          <w:sz w:val="24"/>
          <w:szCs w:val="24"/>
        </w:rPr>
        <w:t xml:space="preserve">They are excluded from participation in or denied the benefits of the public entity’s services, programs, or activities or are otherwise discriminated against by the public entity </w:t>
      </w:r>
    </w:p>
    <w:p w14:paraId="39176B3C" w14:textId="7D9AC8ED" w:rsidR="002662A1" w:rsidRPr="000C541E" w:rsidRDefault="002662A1" w:rsidP="000C541E">
      <w:pPr>
        <w:pStyle w:val="ListParagraph"/>
        <w:numPr>
          <w:ilvl w:val="0"/>
          <w:numId w:val="11"/>
        </w:numPr>
        <w:spacing w:after="360"/>
        <w:rPr>
          <w:rFonts w:ascii="Myriad Pro" w:hAnsi="Myriad Pro"/>
          <w:sz w:val="24"/>
          <w:szCs w:val="24"/>
        </w:rPr>
      </w:pPr>
      <w:r w:rsidRPr="000C541E">
        <w:rPr>
          <w:rFonts w:ascii="Myriad Pro" w:hAnsi="Myriad Pro"/>
          <w:sz w:val="24"/>
          <w:szCs w:val="24"/>
        </w:rPr>
        <w:t>by reason of their disability.</w:t>
      </w:r>
      <w:r w:rsidRPr="000C541E">
        <w:rPr>
          <w:rStyle w:val="FootnoteReference"/>
          <w:rFonts w:ascii="Myriad Pro" w:hAnsi="Myriad Pro" w:cs="Times New Roman"/>
          <w:sz w:val="24"/>
          <w:szCs w:val="24"/>
        </w:rPr>
        <w:footnoteReference w:id="36"/>
      </w:r>
      <w:r w:rsidRPr="000C541E">
        <w:rPr>
          <w:rFonts w:ascii="Myriad Pro" w:hAnsi="Myriad Pro"/>
          <w:sz w:val="24"/>
          <w:szCs w:val="24"/>
        </w:rPr>
        <w:t xml:space="preserve"> </w:t>
      </w:r>
    </w:p>
    <w:p w14:paraId="7AA1FD61" w14:textId="63F68E47" w:rsidR="002662A1" w:rsidRPr="00D04E7B" w:rsidRDefault="0066247E" w:rsidP="006E236A">
      <w:r w:rsidRPr="00D04E7B">
        <w:t>D</w:t>
      </w:r>
      <w:r w:rsidR="218E03E6" w:rsidRPr="00D04E7B">
        <w:t>isability d</w:t>
      </w:r>
      <w:r w:rsidR="006A1ECE" w:rsidRPr="00D04E7B">
        <w:t>iscrimination includes a policy or practice that denies the disabled person access to the program</w:t>
      </w:r>
      <w:r w:rsidR="005B630A" w:rsidRPr="00D04E7B">
        <w:t xml:space="preserve"> or its benefits</w:t>
      </w:r>
      <w:r w:rsidRPr="00D04E7B">
        <w:t>;</w:t>
      </w:r>
      <w:r w:rsidR="002F0252" w:rsidRPr="00D04E7B">
        <w:t xml:space="preserve"> provides the disabled person services and programs that are unequal</w:t>
      </w:r>
      <w:r w:rsidRPr="00D04E7B">
        <w:t>;</w:t>
      </w:r>
      <w:r w:rsidR="002F0252" w:rsidRPr="00D04E7B">
        <w:t xml:space="preserve"> </w:t>
      </w:r>
      <w:r w:rsidRPr="00D04E7B">
        <w:t xml:space="preserve">or </w:t>
      </w:r>
      <w:r w:rsidR="002F0252" w:rsidRPr="00D04E7B">
        <w:t>disproportionately burdens the disabled person</w:t>
      </w:r>
      <w:r w:rsidRPr="00D04E7B">
        <w:t>. Disability discrimination also includes</w:t>
      </w:r>
      <w:r w:rsidR="002F0252" w:rsidRPr="00D04E7B">
        <w:t xml:space="preserve"> </w:t>
      </w:r>
      <w:r w:rsidR="006A1ECE" w:rsidRPr="00D04E7B">
        <w:t>a</w:t>
      </w:r>
      <w:r w:rsidRPr="00D04E7B">
        <w:t>n unlawful</w:t>
      </w:r>
      <w:r w:rsidR="006A1ECE" w:rsidRPr="00D04E7B">
        <w:t xml:space="preserve"> denial of </w:t>
      </w:r>
      <w:r w:rsidRPr="00D04E7B">
        <w:t xml:space="preserve">a </w:t>
      </w:r>
      <w:r w:rsidR="006A1ECE" w:rsidRPr="00D04E7B">
        <w:t xml:space="preserve">reasonable </w:t>
      </w:r>
      <w:r w:rsidRPr="00D04E7B">
        <w:t>modification</w:t>
      </w:r>
      <w:r w:rsidR="006A1ECE" w:rsidRPr="00D04E7B">
        <w:t xml:space="preserve">. </w:t>
      </w:r>
      <w:r w:rsidR="00A4037C" w:rsidRPr="00D04E7B">
        <w:t>Title II allows for injunctive relief, and for the recovery of damages upon a showing that the discrimination was intentional.</w:t>
      </w:r>
      <w:r w:rsidR="00A4037C" w:rsidRPr="00D04E7B">
        <w:rPr>
          <w:rStyle w:val="FootnoteReference"/>
        </w:rPr>
        <w:footnoteReference w:id="37"/>
      </w:r>
      <w:r w:rsidR="00A4037C" w:rsidRPr="00D04E7B">
        <w:t xml:space="preserve"> </w:t>
      </w:r>
      <w:r w:rsidR="00910677" w:rsidRPr="00D04E7B">
        <w:t xml:space="preserve">Title II is expanded upon in </w:t>
      </w:r>
      <w:r w:rsidR="009E536B" w:rsidRPr="00D04E7B">
        <w:t>Chapter 3</w:t>
      </w:r>
      <w:r w:rsidR="00910677" w:rsidRPr="00D04E7B">
        <w:t xml:space="preserve">. </w:t>
      </w:r>
    </w:p>
    <w:p w14:paraId="53BFF4B2" w14:textId="1F5625A7" w:rsidR="00EC217C" w:rsidRPr="00D04E7B" w:rsidRDefault="00EC217C" w:rsidP="00B0405B">
      <w:pPr>
        <w:pStyle w:val="Heading2"/>
      </w:pPr>
      <w:bookmarkStart w:id="25" w:name="_Toc185261678"/>
      <w:bookmarkStart w:id="26" w:name="_Toc185507586"/>
      <w:bookmarkStart w:id="27" w:name="_Toc187054518"/>
      <w:bookmarkStart w:id="28" w:name="_Toc187056504"/>
      <w:r w:rsidRPr="00D04E7B">
        <w:t>Section 504 of the Rehabilitation Act</w:t>
      </w:r>
      <w:bookmarkEnd w:id="25"/>
      <w:bookmarkEnd w:id="26"/>
      <w:bookmarkEnd w:id="27"/>
      <w:bookmarkEnd w:id="28"/>
      <w:r w:rsidRPr="00D04E7B">
        <w:t xml:space="preserve"> </w:t>
      </w:r>
    </w:p>
    <w:p w14:paraId="3B3601D5" w14:textId="74DC5BE2" w:rsidR="00A4037C" w:rsidRPr="00D04E7B" w:rsidRDefault="218E03E6" w:rsidP="006E236A">
      <w:pPr>
        <w:pStyle w:val="NoSpacing"/>
        <w:spacing w:before="240" w:after="240" w:line="360" w:lineRule="auto"/>
        <w:rPr>
          <w:rFonts w:ascii="Myriad Pro" w:hAnsi="Myriad Pro" w:cs="Times New Roman"/>
          <w:sz w:val="24"/>
          <w:szCs w:val="24"/>
        </w:rPr>
      </w:pPr>
      <w:r w:rsidRPr="00D04E7B">
        <w:rPr>
          <w:rFonts w:ascii="Myriad Pro" w:hAnsi="Myriad Pro" w:cs="Times New Roman"/>
          <w:sz w:val="24"/>
          <w:szCs w:val="24"/>
        </w:rPr>
        <w:t>Section 504 of t</w:t>
      </w:r>
      <w:r w:rsidR="00BE0790" w:rsidRPr="00D04E7B">
        <w:rPr>
          <w:rFonts w:ascii="Myriad Pro" w:hAnsi="Myriad Pro" w:cs="Times New Roman"/>
          <w:sz w:val="24"/>
          <w:szCs w:val="24"/>
        </w:rPr>
        <w:t>he Rehabilitation Act (Section 504)</w:t>
      </w:r>
      <w:r w:rsidR="002315A8" w:rsidRPr="00D04E7B">
        <w:rPr>
          <w:rFonts w:ascii="Myriad Pro" w:hAnsi="Myriad Pro" w:cs="Times New Roman"/>
          <w:sz w:val="24"/>
          <w:szCs w:val="24"/>
        </w:rPr>
        <w:t xml:space="preserve"> </w:t>
      </w:r>
      <w:r w:rsidRPr="00D04E7B">
        <w:rPr>
          <w:rFonts w:ascii="Myriad Pro" w:hAnsi="Myriad Pro" w:cs="Times New Roman"/>
          <w:sz w:val="24"/>
          <w:szCs w:val="24"/>
        </w:rPr>
        <w:t xml:space="preserve">prohibits recipients of federal </w:t>
      </w:r>
      <w:r w:rsidR="00556897" w:rsidRPr="00D04E7B">
        <w:rPr>
          <w:rFonts w:ascii="Myriad Pro" w:hAnsi="Myriad Pro" w:cs="Times New Roman"/>
          <w:sz w:val="24"/>
          <w:szCs w:val="24"/>
        </w:rPr>
        <w:t>funding</w:t>
      </w:r>
      <w:r w:rsidRPr="00D04E7B">
        <w:rPr>
          <w:rFonts w:ascii="Myriad Pro" w:hAnsi="Myriad Pro" w:cs="Times New Roman"/>
          <w:sz w:val="24"/>
          <w:szCs w:val="24"/>
        </w:rPr>
        <w:t xml:space="preserve"> from discriminating against people with disabilities.</w:t>
      </w:r>
      <w:r w:rsidR="00A34CA1" w:rsidRPr="00D04E7B">
        <w:rPr>
          <w:rStyle w:val="FootnoteReference"/>
          <w:rFonts w:ascii="Myriad Pro" w:hAnsi="Myriad Pro" w:cs="Times New Roman"/>
          <w:sz w:val="24"/>
          <w:szCs w:val="24"/>
        </w:rPr>
        <w:footnoteReference w:id="38"/>
      </w:r>
      <w:r w:rsidR="00236754" w:rsidRPr="00D04E7B">
        <w:rPr>
          <w:rFonts w:ascii="Myriad Pro" w:hAnsi="Myriad Pro" w:cs="Times New Roman"/>
          <w:sz w:val="24"/>
          <w:szCs w:val="24"/>
        </w:rPr>
        <w:t xml:space="preserve"> </w:t>
      </w:r>
      <w:r w:rsidR="00EC217C" w:rsidRPr="00D04E7B">
        <w:rPr>
          <w:rFonts w:ascii="Myriad Pro" w:hAnsi="Myriad Pro" w:cs="Times New Roman"/>
          <w:sz w:val="24"/>
          <w:szCs w:val="24"/>
        </w:rPr>
        <w:t xml:space="preserve">Title II of the ADA was modeled after </w:t>
      </w:r>
      <w:r w:rsidR="002A13D7" w:rsidRPr="00D04E7B">
        <w:rPr>
          <w:rFonts w:ascii="Myriad Pro" w:hAnsi="Myriad Pro" w:cs="Times New Roman"/>
          <w:sz w:val="24"/>
          <w:szCs w:val="24"/>
        </w:rPr>
        <w:t>Section 504</w:t>
      </w:r>
      <w:r w:rsidR="00EC217C" w:rsidRPr="00D04E7B">
        <w:rPr>
          <w:rFonts w:ascii="Myriad Pro" w:hAnsi="Myriad Pro" w:cs="Times New Roman"/>
          <w:sz w:val="24"/>
          <w:szCs w:val="24"/>
        </w:rPr>
        <w:t xml:space="preserve">, </w:t>
      </w:r>
      <w:r w:rsidR="00645F60" w:rsidRPr="00D04E7B">
        <w:rPr>
          <w:rFonts w:ascii="Myriad Pro" w:hAnsi="Myriad Pro" w:cs="Times New Roman"/>
          <w:sz w:val="24"/>
          <w:szCs w:val="24"/>
        </w:rPr>
        <w:t xml:space="preserve">as such, they are evaluated coextensively because </w:t>
      </w:r>
      <w:r w:rsidR="00EC217C" w:rsidRPr="00D04E7B">
        <w:rPr>
          <w:rFonts w:ascii="Myriad Pro" w:hAnsi="Myriad Pro" w:cs="Times New Roman"/>
          <w:sz w:val="24"/>
          <w:szCs w:val="24"/>
        </w:rPr>
        <w:t>the elements and analysis of the laws are generally the same.</w:t>
      </w:r>
      <w:r w:rsidR="00EC217C" w:rsidRPr="00D04E7B">
        <w:rPr>
          <w:rStyle w:val="FootnoteReference"/>
          <w:rFonts w:ascii="Myriad Pro" w:hAnsi="Myriad Pro" w:cs="Times New Roman"/>
          <w:sz w:val="24"/>
          <w:szCs w:val="24"/>
        </w:rPr>
        <w:footnoteReference w:id="39"/>
      </w:r>
      <w:r w:rsidR="00EC217C" w:rsidRPr="00D04E7B">
        <w:rPr>
          <w:rFonts w:ascii="Myriad Pro" w:hAnsi="Myriad Pro" w:cs="Times New Roman"/>
          <w:sz w:val="24"/>
          <w:szCs w:val="24"/>
        </w:rPr>
        <w:t> </w:t>
      </w:r>
      <w:r w:rsidRPr="00D04E7B">
        <w:rPr>
          <w:rFonts w:ascii="Myriad Pro" w:hAnsi="Myriad Pro" w:cs="Times New Roman"/>
          <w:sz w:val="24"/>
          <w:szCs w:val="24"/>
        </w:rPr>
        <w:t xml:space="preserve">For example, the court in </w:t>
      </w:r>
      <w:r w:rsidRPr="00D04E7B">
        <w:rPr>
          <w:rFonts w:ascii="Myriad Pro" w:hAnsi="Myriad Pro" w:cs="Times New Roman"/>
          <w:i/>
          <w:iCs/>
          <w:sz w:val="24"/>
          <w:szCs w:val="24"/>
        </w:rPr>
        <w:t xml:space="preserve">Bloom v. City of San Diego </w:t>
      </w:r>
      <w:r w:rsidRPr="00D04E7B">
        <w:rPr>
          <w:rFonts w:ascii="Myriad Pro" w:hAnsi="Myriad Pro" w:cs="Times New Roman"/>
          <w:sz w:val="24"/>
          <w:szCs w:val="24"/>
        </w:rPr>
        <w:t>considered plaintiffs ADA and Section 504 claims together, holding that, “A facially neutral program can violate the ADA and RA [Rehabilitation Act] if it disparately impacts or places a disproportionate burden on the disabled.”</w:t>
      </w:r>
      <w:r w:rsidR="002315A8" w:rsidRPr="00D04E7B">
        <w:rPr>
          <w:rStyle w:val="FootnoteReference"/>
          <w:rFonts w:ascii="Myriad Pro" w:hAnsi="Myriad Pro" w:cs="Times New Roman"/>
          <w:sz w:val="24"/>
          <w:szCs w:val="24"/>
        </w:rPr>
        <w:footnoteReference w:id="40"/>
      </w:r>
      <w:r w:rsidRPr="00D04E7B">
        <w:rPr>
          <w:rFonts w:ascii="Myriad Pro" w:hAnsi="Myriad Pro" w:cs="Times New Roman"/>
          <w:sz w:val="24"/>
          <w:szCs w:val="24"/>
        </w:rPr>
        <w:t xml:space="preserve"> </w:t>
      </w:r>
      <w:r w:rsidR="00F91174">
        <w:rPr>
          <w:rFonts w:ascii="Myriad Pro" w:hAnsi="Myriad Pro" w:cs="Times New Roman"/>
          <w:sz w:val="24"/>
          <w:szCs w:val="24"/>
        </w:rPr>
        <w:t>The main</w:t>
      </w:r>
      <w:r w:rsidR="00AC1CED" w:rsidRPr="00D04E7B">
        <w:rPr>
          <w:rFonts w:ascii="Myriad Pro" w:hAnsi="Myriad Pro" w:cs="Times New Roman"/>
          <w:sz w:val="24"/>
          <w:szCs w:val="24"/>
        </w:rPr>
        <w:t xml:space="preserve"> difference is that a</w:t>
      </w:r>
      <w:r w:rsidR="007E6A12" w:rsidRPr="00D04E7B">
        <w:rPr>
          <w:rFonts w:ascii="Myriad Pro" w:hAnsi="Myriad Pro" w:cs="Times New Roman"/>
          <w:sz w:val="24"/>
          <w:szCs w:val="24"/>
        </w:rPr>
        <w:t xml:space="preserve"> claim brought under Section 504 must show th</w:t>
      </w:r>
      <w:r w:rsidR="00AC1CED" w:rsidRPr="00D04E7B">
        <w:rPr>
          <w:rFonts w:ascii="Myriad Pro" w:hAnsi="Myriad Pro" w:cs="Times New Roman"/>
          <w:sz w:val="24"/>
          <w:szCs w:val="24"/>
        </w:rPr>
        <w:t xml:space="preserve">at the relevant municipal department or agency receives federal financial assistance. </w:t>
      </w:r>
      <w:r w:rsidR="00A4037C" w:rsidRPr="00D04E7B">
        <w:rPr>
          <w:rFonts w:ascii="Myriad Pro" w:hAnsi="Myriad Pro" w:cs="Times New Roman"/>
          <w:sz w:val="24"/>
          <w:szCs w:val="24"/>
        </w:rPr>
        <w:t xml:space="preserve">Like Title II of the </w:t>
      </w:r>
      <w:r w:rsidR="00A4037C" w:rsidRPr="00D04E7B">
        <w:rPr>
          <w:rFonts w:ascii="Myriad Pro" w:hAnsi="Myriad Pro" w:cs="Times New Roman"/>
          <w:sz w:val="24"/>
          <w:szCs w:val="24"/>
        </w:rPr>
        <w:lastRenderedPageBreak/>
        <w:t>ADA, Section 504 allows for injunctive relief, and for the recovery of damages upon a showing that the discrimination was intentional.</w:t>
      </w:r>
      <w:r w:rsidR="00A4037C" w:rsidRPr="00D04E7B">
        <w:rPr>
          <w:rStyle w:val="FootnoteReference"/>
          <w:rFonts w:ascii="Myriad Pro" w:hAnsi="Myriad Pro" w:cs="Times New Roman"/>
          <w:sz w:val="24"/>
          <w:szCs w:val="24"/>
        </w:rPr>
        <w:footnoteReference w:id="41"/>
      </w:r>
    </w:p>
    <w:p w14:paraId="195AB8F6" w14:textId="6563D3F4" w:rsidR="00091BE7" w:rsidRPr="00D04E7B" w:rsidRDefault="00DC1BE1" w:rsidP="00091BE7">
      <w:pPr>
        <w:pStyle w:val="NoSpacing"/>
        <w:spacing w:line="360" w:lineRule="auto"/>
        <w:rPr>
          <w:rFonts w:ascii="Myriad Pro" w:hAnsi="Myriad Pro"/>
          <w:sz w:val="24"/>
          <w:szCs w:val="24"/>
        </w:rPr>
      </w:pPr>
      <w:r w:rsidRPr="00D04E7B">
        <w:rPr>
          <w:rFonts w:ascii="Myriad Pro" w:hAnsi="Myriad Pro"/>
          <w:sz w:val="24"/>
          <w:szCs w:val="24"/>
        </w:rPr>
        <w:t>Because the anal</w:t>
      </w:r>
      <w:r w:rsidR="00554A25" w:rsidRPr="00D04E7B">
        <w:rPr>
          <w:rFonts w:ascii="Myriad Pro" w:hAnsi="Myriad Pro"/>
          <w:sz w:val="24"/>
          <w:szCs w:val="24"/>
        </w:rPr>
        <w:t>ysis of</w:t>
      </w:r>
      <w:r w:rsidR="00EC217C" w:rsidRPr="00D04E7B">
        <w:rPr>
          <w:rFonts w:ascii="Myriad Pro" w:hAnsi="Myriad Pro"/>
          <w:sz w:val="24"/>
          <w:szCs w:val="24"/>
        </w:rPr>
        <w:t xml:space="preserve"> Title II of the ADA and </w:t>
      </w:r>
      <w:r w:rsidR="00554A25" w:rsidRPr="00D04E7B">
        <w:rPr>
          <w:rFonts w:ascii="Myriad Pro" w:hAnsi="Myriad Pro"/>
          <w:sz w:val="24"/>
          <w:szCs w:val="24"/>
        </w:rPr>
        <w:t xml:space="preserve">Section 504 are </w:t>
      </w:r>
      <w:r w:rsidR="00AC5320" w:rsidRPr="00D04E7B">
        <w:rPr>
          <w:rFonts w:ascii="Myriad Pro" w:hAnsi="Myriad Pro"/>
          <w:sz w:val="24"/>
          <w:szCs w:val="24"/>
        </w:rPr>
        <w:t xml:space="preserve">generally </w:t>
      </w:r>
      <w:r w:rsidR="00554A25" w:rsidRPr="00D04E7B">
        <w:rPr>
          <w:rFonts w:ascii="Myriad Pro" w:hAnsi="Myriad Pro"/>
          <w:sz w:val="24"/>
          <w:szCs w:val="24"/>
        </w:rPr>
        <w:t>the same,</w:t>
      </w:r>
      <w:r w:rsidR="00700437" w:rsidRPr="00D04E7B">
        <w:rPr>
          <w:rFonts w:ascii="Myriad Pro" w:hAnsi="Myriad Pro"/>
          <w:sz w:val="24"/>
          <w:szCs w:val="24"/>
        </w:rPr>
        <w:t xml:space="preserve"> when a violation of </w:t>
      </w:r>
      <w:r w:rsidR="004E5C56" w:rsidRPr="00D04E7B">
        <w:rPr>
          <w:rFonts w:ascii="Myriad Pro" w:hAnsi="Myriad Pro"/>
          <w:sz w:val="24"/>
          <w:szCs w:val="24"/>
        </w:rPr>
        <w:t>Title II exist</w:t>
      </w:r>
      <w:r w:rsidR="00A4037C" w:rsidRPr="00D04E7B">
        <w:rPr>
          <w:rFonts w:ascii="Myriad Pro" w:hAnsi="Myriad Pro"/>
          <w:sz w:val="24"/>
          <w:szCs w:val="24"/>
        </w:rPr>
        <w:t>s</w:t>
      </w:r>
      <w:r w:rsidR="004E5C56" w:rsidRPr="00D04E7B">
        <w:rPr>
          <w:rFonts w:ascii="Myriad Pro" w:hAnsi="Myriad Pro"/>
          <w:sz w:val="24"/>
          <w:szCs w:val="24"/>
        </w:rPr>
        <w:t xml:space="preserve">, </w:t>
      </w:r>
      <w:r w:rsidR="00A4037C" w:rsidRPr="00D04E7B">
        <w:rPr>
          <w:rFonts w:ascii="Myriad Pro" w:hAnsi="Myriad Pro"/>
          <w:sz w:val="24"/>
          <w:szCs w:val="24"/>
        </w:rPr>
        <w:t>and</w:t>
      </w:r>
      <w:r w:rsidR="00F341C3" w:rsidRPr="00D04E7B">
        <w:rPr>
          <w:rFonts w:ascii="Myriad Pro" w:hAnsi="Myriad Pro"/>
          <w:sz w:val="24"/>
          <w:szCs w:val="24"/>
        </w:rPr>
        <w:t xml:space="preserve"> the </w:t>
      </w:r>
      <w:r w:rsidR="00146588" w:rsidRPr="00D04E7B">
        <w:rPr>
          <w:rFonts w:ascii="Myriad Pro" w:hAnsi="Myriad Pro"/>
          <w:sz w:val="24"/>
          <w:szCs w:val="24"/>
        </w:rPr>
        <w:t>relevant government or department</w:t>
      </w:r>
      <w:r w:rsidR="003D11DF" w:rsidRPr="00D04E7B">
        <w:rPr>
          <w:rFonts w:ascii="Myriad Pro" w:hAnsi="Myriad Pro"/>
          <w:sz w:val="24"/>
          <w:szCs w:val="24"/>
        </w:rPr>
        <w:t xml:space="preserve"> </w:t>
      </w:r>
      <w:r w:rsidR="00F341C3" w:rsidRPr="00D04E7B">
        <w:rPr>
          <w:rFonts w:ascii="Myriad Pro" w:hAnsi="Myriad Pro"/>
          <w:sz w:val="24"/>
          <w:szCs w:val="24"/>
        </w:rPr>
        <w:t>receives federal funds</w:t>
      </w:r>
      <w:r w:rsidR="00A4037C" w:rsidRPr="00D04E7B">
        <w:rPr>
          <w:rFonts w:ascii="Myriad Pro" w:hAnsi="Myriad Pro"/>
          <w:sz w:val="24"/>
          <w:szCs w:val="24"/>
        </w:rPr>
        <w:t xml:space="preserve">, </w:t>
      </w:r>
      <w:r w:rsidR="00656AA0" w:rsidRPr="00D04E7B">
        <w:rPr>
          <w:rFonts w:ascii="Myriad Pro" w:hAnsi="Myriad Pro"/>
          <w:sz w:val="24"/>
          <w:szCs w:val="24"/>
        </w:rPr>
        <w:t xml:space="preserve">then </w:t>
      </w:r>
      <w:r w:rsidR="00A4037C" w:rsidRPr="00D04E7B">
        <w:rPr>
          <w:rFonts w:ascii="Myriad Pro" w:hAnsi="Myriad Pro"/>
          <w:sz w:val="24"/>
          <w:szCs w:val="24"/>
        </w:rPr>
        <w:t>a violation of Section 504 should be included as a cause of action</w:t>
      </w:r>
      <w:r w:rsidR="00EC217C" w:rsidRPr="00D04E7B">
        <w:rPr>
          <w:rFonts w:ascii="Myriad Pro" w:hAnsi="Myriad Pro"/>
          <w:sz w:val="24"/>
          <w:szCs w:val="24"/>
        </w:rPr>
        <w:t>.</w:t>
      </w:r>
      <w:r w:rsidR="00EC217C" w:rsidRPr="00D04E7B">
        <w:rPr>
          <w:rStyle w:val="FootnoteReference"/>
          <w:rFonts w:ascii="Myriad Pro" w:hAnsi="Myriad Pro" w:cs="Times New Roman"/>
          <w:sz w:val="24"/>
          <w:szCs w:val="24"/>
        </w:rPr>
        <w:footnoteReference w:id="42"/>
      </w:r>
      <w:r w:rsidR="003E7D17" w:rsidRPr="00D04E7B">
        <w:rPr>
          <w:rFonts w:ascii="Myriad Pro" w:hAnsi="Myriad Pro"/>
          <w:sz w:val="24"/>
          <w:szCs w:val="24"/>
        </w:rPr>
        <w:t xml:space="preserve"> Federal funds need not go directly to a homelessness program, rather, </w:t>
      </w:r>
      <w:r w:rsidR="00146588" w:rsidRPr="00D04E7B">
        <w:rPr>
          <w:rFonts w:ascii="Myriad Pro" w:hAnsi="Myriad Pro"/>
          <w:sz w:val="24"/>
          <w:szCs w:val="24"/>
        </w:rPr>
        <w:t>Section 504 applies when</w:t>
      </w:r>
      <w:r w:rsidR="003E7D17" w:rsidRPr="00D04E7B">
        <w:rPr>
          <w:rFonts w:ascii="Myriad Pro" w:hAnsi="Myriad Pro"/>
          <w:sz w:val="24"/>
          <w:szCs w:val="24"/>
        </w:rPr>
        <w:t xml:space="preserve"> the program is housed in a department or agency that receives federal funds.</w:t>
      </w:r>
      <w:r w:rsidR="00146588" w:rsidRPr="00D04E7B">
        <w:rPr>
          <w:rStyle w:val="FootnoteReference"/>
          <w:rFonts w:ascii="Myriad Pro" w:hAnsi="Myriad Pro" w:cs="Times New Roman"/>
          <w:sz w:val="24"/>
          <w:szCs w:val="24"/>
        </w:rPr>
        <w:footnoteReference w:id="43"/>
      </w:r>
    </w:p>
    <w:p w14:paraId="751E0E6D" w14:textId="1D8931B8" w:rsidR="00B4445F" w:rsidRPr="00D04E7B" w:rsidRDefault="00091BE7" w:rsidP="00B0405B">
      <w:pPr>
        <w:pStyle w:val="Heading2"/>
      </w:pPr>
      <w:bookmarkStart w:id="29" w:name="_Toc185261679"/>
      <w:bookmarkStart w:id="30" w:name="_Toc185507587"/>
      <w:bookmarkStart w:id="31" w:name="_Toc187054519"/>
      <w:bookmarkStart w:id="32" w:name="_Toc187056505"/>
      <w:r w:rsidRPr="00D04E7B">
        <w:t xml:space="preserve">California </w:t>
      </w:r>
      <w:r w:rsidR="00B4445F" w:rsidRPr="00D04E7B">
        <w:t>Disabled Persons Act</w:t>
      </w:r>
      <w:bookmarkEnd w:id="29"/>
      <w:bookmarkEnd w:id="30"/>
      <w:bookmarkEnd w:id="31"/>
      <w:bookmarkEnd w:id="32"/>
    </w:p>
    <w:p w14:paraId="74DBFD43" w14:textId="426C1BF4" w:rsidR="000A0DAA" w:rsidRPr="006E236A" w:rsidRDefault="003C177C" w:rsidP="006E236A">
      <w:r w:rsidRPr="006E236A">
        <w:t>California’s Disabled Persons Act (DPA) is a state law designed to protect the rights of individuals with disabilities</w:t>
      </w:r>
      <w:r w:rsidR="00444D69" w:rsidRPr="006E236A">
        <w:t xml:space="preserve"> by prohibiting </w:t>
      </w:r>
      <w:r w:rsidRPr="006E236A">
        <w:t>discrimination and ensuring accessibility in various areas, including</w:t>
      </w:r>
      <w:r w:rsidR="00D0481D" w:rsidRPr="006E236A">
        <w:t xml:space="preserve"> public services,</w:t>
      </w:r>
      <w:r w:rsidRPr="006E236A">
        <w:t xml:space="preserve"> employment, housing, and public accommodations.</w:t>
      </w:r>
      <w:r w:rsidR="00444D69" w:rsidRPr="006E236A">
        <w:t xml:space="preserve"> </w:t>
      </w:r>
      <w:r w:rsidR="001B1845" w:rsidRPr="006E236A">
        <w:t>A violation of the ADA constitutes a violation of the DPA.</w:t>
      </w:r>
      <w:r w:rsidR="001B1845" w:rsidRPr="00651142">
        <w:rPr>
          <w:rStyle w:val="FootnoteReference"/>
        </w:rPr>
        <w:footnoteReference w:id="44"/>
      </w:r>
      <w:r w:rsidR="004569A7" w:rsidRPr="006E236A">
        <w:t xml:space="preserve"> </w:t>
      </w:r>
      <w:r w:rsidR="00585FC0" w:rsidRPr="006E236A">
        <w:t>The DPA provides for injunctive relief and damages</w:t>
      </w:r>
      <w:r w:rsidR="006D6266" w:rsidRPr="006E236A">
        <w:t>.</w:t>
      </w:r>
      <w:r w:rsidR="006D6266" w:rsidRPr="00651142">
        <w:rPr>
          <w:rStyle w:val="FootnoteReference"/>
        </w:rPr>
        <w:footnoteReference w:id="45"/>
      </w:r>
      <w:r w:rsidR="00146588" w:rsidRPr="006E236A">
        <w:t xml:space="preserve"> </w:t>
      </w:r>
      <w:r w:rsidR="000A0DAA" w:rsidRPr="006E236A">
        <w:t>However, the DPA a</w:t>
      </w:r>
      <w:r w:rsidR="00CD2285" w:rsidRPr="006E236A">
        <w:t xml:space="preserve">llows </w:t>
      </w:r>
      <w:r w:rsidR="000A0DAA" w:rsidRPr="006E236A">
        <w:t>attorney’s fees to the prevailing party, which can include a defendant who successfully defends against at DPA claim.</w:t>
      </w:r>
      <w:r w:rsidR="000A0DAA" w:rsidRPr="00651142">
        <w:rPr>
          <w:rStyle w:val="FootnoteReference"/>
        </w:rPr>
        <w:footnoteReference w:id="46"/>
      </w:r>
      <w:r w:rsidR="79A6ED15" w:rsidRPr="00651142">
        <w:rPr>
          <w:rStyle w:val="FootnoteReference"/>
        </w:rPr>
        <w:t xml:space="preserve"> </w:t>
      </w:r>
      <w:r w:rsidR="79A6ED15" w:rsidRPr="006E236A">
        <w:t xml:space="preserve">For this reason, including a DPA claim requires careful consideration. </w:t>
      </w:r>
    </w:p>
    <w:p w14:paraId="183DDC8D" w14:textId="501B4C89" w:rsidR="00EC217C" w:rsidRPr="00D04E7B" w:rsidRDefault="00B4445F" w:rsidP="00B0405B">
      <w:pPr>
        <w:pStyle w:val="Heading2"/>
      </w:pPr>
      <w:bookmarkStart w:id="33" w:name="_Toc185261680"/>
      <w:bookmarkStart w:id="34" w:name="_Toc185507588"/>
      <w:bookmarkStart w:id="35" w:name="_Toc187054520"/>
      <w:bookmarkStart w:id="36" w:name="_Toc187056506"/>
      <w:r w:rsidRPr="00D04E7B">
        <w:t>California Government Code Section 11135</w:t>
      </w:r>
      <w:bookmarkEnd w:id="33"/>
      <w:bookmarkEnd w:id="34"/>
      <w:bookmarkEnd w:id="35"/>
      <w:bookmarkEnd w:id="36"/>
    </w:p>
    <w:p w14:paraId="7B71E068" w14:textId="7DF439DC" w:rsidR="00E95E68" w:rsidRPr="00D04E7B" w:rsidRDefault="00BB02B9" w:rsidP="006E236A">
      <w:r w:rsidRPr="00D04E7B">
        <w:t>Section 11135(a) of the California Government Code prohibits disability discrimination by “any program or activity that is funded directly by the state or receives any financial assistance from the state.”</w:t>
      </w:r>
      <w:r w:rsidR="004D78A7" w:rsidRPr="00D04E7B">
        <w:t xml:space="preserve"> California Government Code § 11135(b) incorporates the protections and prohibitions contained in the ADA and its implementing regulations.</w:t>
      </w:r>
      <w:r w:rsidR="00AE088B" w:rsidRPr="00D04E7B">
        <w:t xml:space="preserve"> </w:t>
      </w:r>
    </w:p>
    <w:p w14:paraId="2D0D68C0" w14:textId="2939D9EC" w:rsidR="00EC217C" w:rsidRPr="009D3BED" w:rsidRDefault="00E95E68" w:rsidP="00E95C1C">
      <w:pPr>
        <w:pStyle w:val="Heading1"/>
      </w:pPr>
      <w:bookmarkStart w:id="37" w:name="_Toc185261681"/>
      <w:bookmarkStart w:id="38" w:name="_Toc185507589"/>
      <w:bookmarkStart w:id="39" w:name="_Toc187054521"/>
      <w:bookmarkStart w:id="40" w:name="_Toc187056507"/>
      <w:r w:rsidRPr="009D3BED">
        <w:lastRenderedPageBreak/>
        <w:t xml:space="preserve">Chapter 3: </w:t>
      </w:r>
      <w:r w:rsidR="00EC217C" w:rsidRPr="009D3BED">
        <w:t>Title II of the A</w:t>
      </w:r>
      <w:bookmarkEnd w:id="37"/>
      <w:r w:rsidR="00FA1F84">
        <w:t>mericans with Disabilities Act</w:t>
      </w:r>
      <w:bookmarkEnd w:id="38"/>
      <w:bookmarkEnd w:id="39"/>
      <w:bookmarkEnd w:id="40"/>
    </w:p>
    <w:p w14:paraId="5AA1D89F" w14:textId="131162BA" w:rsidR="00EC217C" w:rsidRPr="00D04E7B" w:rsidRDefault="00EC217C" w:rsidP="00B0405B">
      <w:pPr>
        <w:pStyle w:val="Heading2"/>
      </w:pPr>
      <w:bookmarkStart w:id="41" w:name="_Toc185261682"/>
      <w:bookmarkStart w:id="42" w:name="_Toc185507590"/>
      <w:bookmarkStart w:id="43" w:name="_Toc187054522"/>
      <w:bookmarkStart w:id="44" w:name="_Toc187056508"/>
      <w:r w:rsidRPr="00D04E7B">
        <w:t>Basics of Title II</w:t>
      </w:r>
      <w:bookmarkEnd w:id="41"/>
      <w:bookmarkEnd w:id="42"/>
      <w:bookmarkEnd w:id="43"/>
      <w:bookmarkEnd w:id="44"/>
    </w:p>
    <w:p w14:paraId="4E6C9FDD" w14:textId="0E18C04C" w:rsidR="00EC217C" w:rsidRPr="00D04E7B" w:rsidRDefault="00EC217C" w:rsidP="006E236A">
      <w:r w:rsidRPr="00D04E7B">
        <w:t>Title II covers</w:t>
      </w:r>
      <w:r w:rsidR="001F38FD" w:rsidRPr="00D04E7B">
        <w:t xml:space="preserve"> the “services, programs, or activities” of</w:t>
      </w:r>
      <w:r w:rsidRPr="00D04E7B">
        <w:t xml:space="preserve"> city</w:t>
      </w:r>
      <w:r w:rsidR="00184522" w:rsidRPr="00D04E7B">
        <w:t xml:space="preserve"> and state</w:t>
      </w:r>
      <w:r w:rsidRPr="00D04E7B">
        <w:t xml:space="preserve"> government, law enforcement, </w:t>
      </w:r>
      <w:r w:rsidR="001F38FD" w:rsidRPr="00D04E7B">
        <w:t xml:space="preserve">and </w:t>
      </w:r>
      <w:r w:rsidR="00184522" w:rsidRPr="00D04E7B">
        <w:t>other government departments and agencies</w:t>
      </w:r>
      <w:r w:rsidRPr="00D04E7B">
        <w:t xml:space="preserve">. </w:t>
      </w:r>
      <w:r w:rsidR="0021299B" w:rsidRPr="00D04E7B">
        <w:t>The definition of “s</w:t>
      </w:r>
      <w:r w:rsidRPr="00D04E7B">
        <w:t>ervices, programs, or activities”</w:t>
      </w:r>
      <w:r w:rsidR="009D4D0D" w:rsidRPr="00D04E7B">
        <w:t xml:space="preserve"> under Title II</w:t>
      </w:r>
      <w:r w:rsidRPr="00D04E7B">
        <w:t xml:space="preserve"> </w:t>
      </w:r>
      <w:r w:rsidR="0021299B" w:rsidRPr="00D04E7B">
        <w:t>is broad</w:t>
      </w:r>
      <w:r w:rsidRPr="00D04E7B">
        <w:t xml:space="preserve"> and “bring[s] within its scope anything a public entity does.”</w:t>
      </w:r>
      <w:r w:rsidRPr="00D04E7B">
        <w:rPr>
          <w:rStyle w:val="FootnoteReference"/>
        </w:rPr>
        <w:footnoteReference w:id="47"/>
      </w:r>
      <w:r w:rsidRPr="00D04E7B">
        <w:t xml:space="preserve"> </w:t>
      </w:r>
      <w:r w:rsidR="001C7D27" w:rsidRPr="00D04E7B">
        <w:t>This includes anything that is a</w:t>
      </w:r>
      <w:r w:rsidRPr="00D04E7B">
        <w:t xml:space="preserve"> </w:t>
      </w:r>
      <w:r w:rsidR="001C7D27" w:rsidRPr="00D04E7B">
        <w:t>“</w:t>
      </w:r>
      <w:r w:rsidRPr="00D04E7B">
        <w:t>normal function of a governmental entity."</w:t>
      </w:r>
      <w:r w:rsidRPr="00D04E7B">
        <w:rPr>
          <w:rStyle w:val="FootnoteReference"/>
        </w:rPr>
        <w:footnoteReference w:id="48"/>
      </w:r>
      <w:r w:rsidRPr="00D04E7B">
        <w:t xml:space="preserve"> </w:t>
      </w:r>
      <w:r w:rsidR="001C7D27" w:rsidRPr="00D04E7B">
        <w:t>The</w:t>
      </w:r>
      <w:r w:rsidRPr="00D04E7B">
        <w:t xml:space="preserve"> enforcement of municipal codes</w:t>
      </w:r>
      <w:r w:rsidR="001C7D27" w:rsidRPr="00D04E7B">
        <w:t>, such as anti-camping laws,</w:t>
      </w:r>
      <w:r w:rsidRPr="00D04E7B">
        <w:t xml:space="preserve"> and encampment sweeps</w:t>
      </w:r>
      <w:r w:rsidR="001C7D27" w:rsidRPr="00D04E7B">
        <w:t xml:space="preserve"> are deemed a service, program or activity of the government</w:t>
      </w:r>
      <w:r w:rsidR="00F47E6F" w:rsidRPr="00D04E7B">
        <w:t>.</w:t>
      </w:r>
      <w:r w:rsidR="00B82594" w:rsidRPr="00D04E7B">
        <w:rPr>
          <w:rStyle w:val="FootnoteReference"/>
        </w:rPr>
        <w:t xml:space="preserve"> </w:t>
      </w:r>
      <w:r w:rsidR="00B82594" w:rsidRPr="00D04E7B">
        <w:rPr>
          <w:rStyle w:val="FootnoteReference"/>
        </w:rPr>
        <w:footnoteReference w:id="49"/>
      </w:r>
      <w:r w:rsidR="000C4E5E">
        <w:t xml:space="preserve"> </w:t>
      </w:r>
      <w:r w:rsidRPr="00D04E7B">
        <w:t xml:space="preserve">Therefore, the </w:t>
      </w:r>
      <w:r w:rsidR="00B26642" w:rsidRPr="00D04E7B">
        <w:t>enforcement</w:t>
      </w:r>
      <w:r w:rsidRPr="00D04E7B">
        <w:t xml:space="preserve"> </w:t>
      </w:r>
      <w:r w:rsidR="00B26642" w:rsidRPr="00D04E7B">
        <w:t>of</w:t>
      </w:r>
      <w:r w:rsidRPr="00D04E7B">
        <w:t xml:space="preserve"> </w:t>
      </w:r>
      <w:r w:rsidR="00165A74" w:rsidRPr="00D04E7B">
        <w:t>laws that criminalize homelessness</w:t>
      </w:r>
      <w:r w:rsidRPr="00D04E7B">
        <w:t xml:space="preserve"> may be challenged under Title II</w:t>
      </w:r>
      <w:r w:rsidR="00B82594" w:rsidRPr="00D04E7B">
        <w:t xml:space="preserve"> of the ADA. </w:t>
      </w:r>
    </w:p>
    <w:p w14:paraId="136D647A" w14:textId="5CD7C916" w:rsidR="002252AE" w:rsidRPr="00D04E7B" w:rsidRDefault="00315534" w:rsidP="006E236A">
      <w:r w:rsidRPr="00D04E7B">
        <w:t>Public entities must ensure their program are accessible in multiple areas. Title II has rules about physical access barriers in buildings and other facilities to ensure people with disabilities can obtain services in these buildings.</w:t>
      </w:r>
      <w:r w:rsidRPr="00D04E7B">
        <w:rPr>
          <w:rStyle w:val="FootnoteReference"/>
        </w:rPr>
        <w:footnoteReference w:id="50"/>
      </w:r>
      <w:r w:rsidRPr="00D04E7B">
        <w:t xml:space="preserve"> Under Title II, public entities must also</w:t>
      </w:r>
      <w:r w:rsidR="002252AE" w:rsidRPr="00D04E7B">
        <w:t xml:space="preserve"> “ensure that communications with applicants, participants, members of the public, and companions with disabilities are as effective as communications with others.”</w:t>
      </w:r>
      <w:r w:rsidR="002252AE" w:rsidRPr="00D04E7B">
        <w:rPr>
          <w:rStyle w:val="FootnoteReference"/>
        </w:rPr>
        <w:footnoteReference w:id="51"/>
      </w:r>
      <w:r w:rsidR="002252AE" w:rsidRPr="00D04E7B">
        <w:t xml:space="preserve"> Government entities must provide “auxiliary aids and services” such as sign language interpreters as needed to allow people with disabilities to communicate.</w:t>
      </w:r>
      <w:r w:rsidR="002252AE" w:rsidRPr="00D04E7B">
        <w:rPr>
          <w:rStyle w:val="FootnoteReference"/>
        </w:rPr>
        <w:footnoteReference w:id="52"/>
      </w:r>
      <w:r w:rsidR="002252AE" w:rsidRPr="00D04E7B">
        <w:t xml:space="preserve"> Effective communication requires that the government communicate effectively with people with intellectual and developmental disabilities, including people who may need plain language or alternative forms of communication such as pictures or verbal explanations.</w:t>
      </w:r>
      <w:r w:rsidR="002252AE" w:rsidRPr="00D04E7B">
        <w:rPr>
          <w:rStyle w:val="FootnoteReference"/>
        </w:rPr>
        <w:footnoteReference w:id="53"/>
      </w:r>
      <w:r w:rsidRPr="00D04E7B">
        <w:t xml:space="preserve"> </w:t>
      </w:r>
    </w:p>
    <w:p w14:paraId="1ED09ED1" w14:textId="37F1BFDB" w:rsidR="001C19DE" w:rsidRPr="00D04E7B" w:rsidRDefault="00315534" w:rsidP="006E236A">
      <w:r w:rsidRPr="00D04E7B">
        <w:t>D</w:t>
      </w:r>
      <w:r w:rsidR="001C19DE" w:rsidRPr="00D04E7B">
        <w:t xml:space="preserve">iscrimination </w:t>
      </w:r>
      <w:r w:rsidRPr="00D04E7B">
        <w:t xml:space="preserve">is prohibited </w:t>
      </w:r>
      <w:r w:rsidR="001C19DE" w:rsidRPr="00D04E7B">
        <w:t xml:space="preserve">under Title II of the ADA including </w:t>
      </w:r>
      <w:r w:rsidR="00923CCD" w:rsidRPr="00D04E7B">
        <w:t>disparate treatment</w:t>
      </w:r>
      <w:r w:rsidR="001C19DE" w:rsidRPr="00D04E7B">
        <w:t xml:space="preserve">, disparate impact, and failure to make a reasonable </w:t>
      </w:r>
      <w:r w:rsidR="002E5163" w:rsidRPr="00D04E7B">
        <w:t>modification</w:t>
      </w:r>
      <w:r w:rsidR="001C19DE" w:rsidRPr="00D04E7B">
        <w:t>.</w:t>
      </w:r>
      <w:r w:rsidR="001C19DE" w:rsidRPr="00D04E7B">
        <w:rPr>
          <w:rStyle w:val="FootnoteReference"/>
        </w:rPr>
        <w:footnoteReference w:id="54"/>
      </w:r>
      <w:r w:rsidR="001C19DE" w:rsidRPr="00D04E7B">
        <w:t xml:space="preserve"> Establishing disparate treatment typically requires showing that a disabled person was treated differently or less favorably than a non-</w:t>
      </w:r>
      <w:r w:rsidR="001C19DE" w:rsidRPr="00D04E7B">
        <w:lastRenderedPageBreak/>
        <w:t>disabled person.</w:t>
      </w:r>
      <w:r w:rsidR="001C19DE" w:rsidRPr="00D04E7B">
        <w:rPr>
          <w:rStyle w:val="FootnoteReference"/>
        </w:rPr>
        <w:footnoteReference w:id="55"/>
      </w:r>
      <w:r w:rsidR="001C19DE" w:rsidRPr="00D04E7B">
        <w:t xml:space="preserve"> A disparate impact claim challenges a government policy or practice that denies people with disabilities meaningful access to public services or disproportionately burdens them based on disability.</w:t>
      </w:r>
      <w:r w:rsidR="001C19DE" w:rsidRPr="00D04E7B">
        <w:rPr>
          <w:rStyle w:val="FootnoteReference"/>
        </w:rPr>
        <w:footnoteReference w:id="56"/>
      </w:r>
      <w:r w:rsidR="001C19DE" w:rsidRPr="00D04E7B">
        <w:t xml:space="preserve"> </w:t>
      </w:r>
      <w:r w:rsidR="002E5163" w:rsidRPr="00D04E7B">
        <w:t>Finally, a reasonable modification claim challenges an unlawful denial of a request to change a policy or practice to enable a person with a disability to use a service or program of a public entity.</w:t>
      </w:r>
      <w:r w:rsidR="009E47C6" w:rsidRPr="00D04E7B">
        <w:rPr>
          <w:rStyle w:val="FootnoteReference"/>
        </w:rPr>
        <w:footnoteReference w:id="57"/>
      </w:r>
      <w:r w:rsidR="002E5163" w:rsidRPr="00D04E7B">
        <w:t xml:space="preserve"> </w:t>
      </w:r>
      <w:r w:rsidR="001C19DE" w:rsidRPr="00D04E7B">
        <w:t>A</w:t>
      </w:r>
      <w:r w:rsidR="002E5163" w:rsidRPr="00D04E7B">
        <w:t>n unhoused</w:t>
      </w:r>
      <w:r w:rsidR="001C19DE" w:rsidRPr="00D04E7B">
        <w:t xml:space="preserve"> person with a disability may have a claim against </w:t>
      </w:r>
      <w:r w:rsidR="002E5163" w:rsidRPr="00D04E7B">
        <w:t>a public entity</w:t>
      </w:r>
      <w:r w:rsidR="001C19DE" w:rsidRPr="00D04E7B">
        <w:t xml:space="preserve"> under one or more of these Title II theories. </w:t>
      </w:r>
    </w:p>
    <w:p w14:paraId="229419F6" w14:textId="019FD858" w:rsidR="00EC217C" w:rsidRPr="00D04E7B" w:rsidRDefault="00EC217C" w:rsidP="00B0405B">
      <w:pPr>
        <w:pStyle w:val="Heading2"/>
      </w:pPr>
      <w:bookmarkStart w:id="45" w:name="_Toc185261683"/>
      <w:bookmarkStart w:id="46" w:name="_Toc185507591"/>
      <w:bookmarkStart w:id="47" w:name="_Toc187054523"/>
      <w:bookmarkStart w:id="48" w:name="_Toc187056509"/>
      <w:r w:rsidRPr="00D04E7B">
        <w:t>Disparate Impact</w:t>
      </w:r>
      <w:bookmarkEnd w:id="45"/>
      <w:bookmarkEnd w:id="46"/>
      <w:bookmarkEnd w:id="47"/>
      <w:bookmarkEnd w:id="48"/>
      <w:r w:rsidRPr="00D04E7B">
        <w:t xml:space="preserve"> </w:t>
      </w:r>
    </w:p>
    <w:p w14:paraId="34B9DE15" w14:textId="6695DC67" w:rsidR="005D5721" w:rsidRPr="00D04E7B" w:rsidRDefault="00EC217C" w:rsidP="006E236A">
      <w:r w:rsidRPr="00D04E7B">
        <w:t>Title II prohibits the administration of programs in a way that has a discriminatory effect on people with disabilities or that has the “effect of defeating or substantially impairing the accomplishment of the objectives of the service, program, or activity with respect to individuals with disabilities.”</w:t>
      </w:r>
      <w:r w:rsidRPr="00D04E7B">
        <w:rPr>
          <w:rStyle w:val="FootnoteReference"/>
        </w:rPr>
        <w:footnoteReference w:id="58"/>
      </w:r>
      <w:r w:rsidRPr="00D04E7B">
        <w:t xml:space="preserve"> </w:t>
      </w:r>
      <w:r w:rsidR="00042A64" w:rsidRPr="00D04E7B">
        <w:t>The statute also prohibits the use of eligibility criteria that “screen out or tend to screen out” a person or group of people with disabilities.</w:t>
      </w:r>
      <w:r w:rsidR="00042A64" w:rsidRPr="00D04E7B">
        <w:rPr>
          <w:rStyle w:val="FootnoteReference"/>
        </w:rPr>
        <w:footnoteReference w:id="59"/>
      </w:r>
      <w:r w:rsidR="00042A64" w:rsidRPr="00D04E7B">
        <w:t xml:space="preserve"> </w:t>
      </w:r>
      <w:r w:rsidR="00D03458" w:rsidRPr="00D04E7B">
        <w:t>To bring a disparate impact claim a plaintiff must</w:t>
      </w:r>
      <w:r w:rsidR="00985673" w:rsidRPr="00D04E7B">
        <w:t xml:space="preserve"> allege that a </w:t>
      </w:r>
      <w:r w:rsidR="00D03458" w:rsidRPr="00D04E7B">
        <w:t>“</w:t>
      </w:r>
      <w:r w:rsidR="00985673" w:rsidRPr="00D04E7B">
        <w:t xml:space="preserve">facially neutral government policy or practice has the </w:t>
      </w:r>
      <w:r w:rsidR="004A601F" w:rsidRPr="00D04E7B">
        <w:t>‘</w:t>
      </w:r>
      <w:r w:rsidR="00985673" w:rsidRPr="00D04E7B">
        <w:t>effect of denying meaningful access to public services</w:t>
      </w:r>
      <w:r w:rsidR="004A601F" w:rsidRPr="00D04E7B">
        <w:t>’</w:t>
      </w:r>
      <w:r w:rsidR="00985673" w:rsidRPr="00D04E7B">
        <w:t xml:space="preserve"> to people with disabilities.</w:t>
      </w:r>
      <w:r w:rsidR="004A601F" w:rsidRPr="00D04E7B">
        <w:t>”</w:t>
      </w:r>
      <w:r w:rsidR="004A601F" w:rsidRPr="00D04E7B">
        <w:rPr>
          <w:rStyle w:val="FootnoteReference"/>
        </w:rPr>
        <w:footnoteReference w:id="60"/>
      </w:r>
      <w:r w:rsidR="00A644B9" w:rsidRPr="00D04E7B">
        <w:t xml:space="preserve"> </w:t>
      </w:r>
      <w:r w:rsidR="00473822" w:rsidRPr="00D04E7B">
        <w:t>This includes a facially neutral policy that</w:t>
      </w:r>
      <w:r w:rsidR="00895566" w:rsidRPr="00D04E7B">
        <w:t xml:space="preserve"> </w:t>
      </w:r>
      <w:r w:rsidR="00473822" w:rsidRPr="00D04E7B">
        <w:t>disproportionately burdens</w:t>
      </w:r>
      <w:r w:rsidR="00924FF7" w:rsidRPr="00D04E7B">
        <w:t xml:space="preserve"> </w:t>
      </w:r>
      <w:r w:rsidR="00473822" w:rsidRPr="00D04E7B">
        <w:t>people with disabilities.</w:t>
      </w:r>
      <w:r w:rsidR="00473822" w:rsidRPr="00D04E7B">
        <w:rPr>
          <w:rStyle w:val="FootnoteReference"/>
        </w:rPr>
        <w:footnoteReference w:id="61"/>
      </w:r>
      <w:r w:rsidR="00473822" w:rsidRPr="00D04E7B">
        <w:t xml:space="preserve"> </w:t>
      </w:r>
      <w:r w:rsidR="00895566" w:rsidRPr="00D04E7B">
        <w:t xml:space="preserve">For example, in </w:t>
      </w:r>
      <w:r w:rsidR="00895566" w:rsidRPr="00D04E7B">
        <w:rPr>
          <w:i/>
          <w:iCs/>
        </w:rPr>
        <w:t xml:space="preserve">Crowder v. Kitagawa, </w:t>
      </w:r>
      <w:r w:rsidR="00895566" w:rsidRPr="00D04E7B">
        <w:t>the court found that a facially neutral Hawaiian law that required the quarantine of all dogs upon arrival discriminated against visually-impaired people who relied on guide dogs because it denied them meaningful access to the state’s services, programs, and activities.</w:t>
      </w:r>
      <w:r w:rsidR="00895566" w:rsidRPr="00D04E7B">
        <w:rPr>
          <w:rStyle w:val="FootnoteReference"/>
        </w:rPr>
        <w:footnoteReference w:id="62"/>
      </w:r>
    </w:p>
    <w:p w14:paraId="71755F7C" w14:textId="2987D5B2" w:rsidR="00473822" w:rsidRDefault="00CC1C5C" w:rsidP="006E236A">
      <w:r w:rsidRPr="00D04E7B">
        <w:t>A person with a disability</w:t>
      </w:r>
      <w:r w:rsidR="005D5721" w:rsidRPr="00D04E7B">
        <w:t xml:space="preserve"> has the burden of proof to show that</w:t>
      </w:r>
      <w:r w:rsidR="00C51079" w:rsidRPr="00D04E7B">
        <w:t>,</w:t>
      </w:r>
      <w:r w:rsidR="005D5721" w:rsidRPr="00D04E7B">
        <w:t xml:space="preserve"> as a result of their disability, they were</w:t>
      </w:r>
      <w:r w:rsidR="00473822" w:rsidRPr="00D04E7B">
        <w:t xml:space="preserve"> excluded from participating in or denied the benefits of services, programs, or activities.</w:t>
      </w:r>
      <w:r w:rsidR="00473822" w:rsidRPr="00D04E7B">
        <w:rPr>
          <w:rStyle w:val="FootnoteReference"/>
        </w:rPr>
        <w:footnoteReference w:id="63"/>
      </w:r>
      <w:r w:rsidR="00473822" w:rsidRPr="00D04E7B">
        <w:t xml:space="preserve"> A </w:t>
      </w:r>
      <w:r w:rsidR="00473822" w:rsidRPr="00D04E7B">
        <w:lastRenderedPageBreak/>
        <w:t xml:space="preserve">plaintiff does not need to allege a "discriminatory animus" </w:t>
      </w:r>
      <w:r w:rsidR="005D5721" w:rsidRPr="00D04E7B">
        <w:t>to establish this claim.</w:t>
      </w:r>
      <w:r w:rsidR="00473822" w:rsidRPr="00D04E7B">
        <w:rPr>
          <w:rStyle w:val="FootnoteReference"/>
        </w:rPr>
        <w:footnoteReference w:id="64"/>
      </w:r>
      <w:r w:rsidR="00473822" w:rsidRPr="00D04E7B">
        <w:t xml:space="preserve"> Rather, alleging denial of benefits may be based on “thoughtlessness,” “indifference”, or “benign neglect.”</w:t>
      </w:r>
      <w:r w:rsidR="00473822" w:rsidRPr="00D04E7B">
        <w:rPr>
          <w:rStyle w:val="FootnoteReference"/>
        </w:rPr>
        <w:footnoteReference w:id="6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tblCellMar>
        <w:tblLook w:val="04A0" w:firstRow="1" w:lastRow="0" w:firstColumn="1" w:lastColumn="0" w:noHBand="0" w:noVBand="1"/>
      </w:tblPr>
      <w:tblGrid>
        <w:gridCol w:w="9936"/>
      </w:tblGrid>
      <w:tr w:rsidR="00B66717" w:rsidRPr="00B66717" w14:paraId="295BC39C" w14:textId="77777777" w:rsidTr="00004ED4">
        <w:trPr>
          <w:trHeight w:val="1086"/>
        </w:trPr>
        <w:tc>
          <w:tcPr>
            <w:tcW w:w="9936" w:type="dxa"/>
            <w:shd w:val="clear" w:color="auto" w:fill="F2F2F2" w:themeFill="background1" w:themeFillShade="F2"/>
          </w:tcPr>
          <w:p w14:paraId="42F41879" w14:textId="0A5FEF17" w:rsidR="00B66717" w:rsidRPr="00B66717" w:rsidRDefault="00B66717" w:rsidP="00004ED4">
            <w:pPr>
              <w:spacing w:after="120"/>
              <w:rPr>
                <w:sz w:val="24"/>
                <w:szCs w:val="24"/>
              </w:rPr>
            </w:pPr>
            <w:r w:rsidRPr="00B66717">
              <w:rPr>
                <w:b/>
                <w:bCs/>
                <w:sz w:val="24"/>
                <w:szCs w:val="24"/>
              </w:rPr>
              <w:t xml:space="preserve">Practice Tip: </w:t>
            </w:r>
            <w:r w:rsidRPr="00B66717">
              <w:rPr>
                <w:sz w:val="24"/>
                <w:szCs w:val="24"/>
              </w:rPr>
              <w:t xml:space="preserve">Avoid characterizing a disparate impact claim </w:t>
            </w:r>
            <w:proofErr w:type="gramStart"/>
            <w:r w:rsidRPr="00B66717">
              <w:rPr>
                <w:sz w:val="24"/>
                <w:szCs w:val="24"/>
              </w:rPr>
              <w:t>as a result of</w:t>
            </w:r>
            <w:proofErr w:type="gramEnd"/>
            <w:r w:rsidRPr="00B66717">
              <w:rPr>
                <w:sz w:val="24"/>
                <w:szCs w:val="24"/>
              </w:rPr>
              <w:t xml:space="preserve"> being homeless or indigent. These are not protected characteristics or directly covered by the ADA.</w:t>
            </w:r>
            <w:r w:rsidRPr="00B66717">
              <w:rPr>
                <w:rStyle w:val="FootnoteReference"/>
                <w:sz w:val="24"/>
                <w:szCs w:val="24"/>
              </w:rPr>
              <w:footnoteReference w:id="66"/>
            </w:r>
          </w:p>
        </w:tc>
      </w:tr>
    </w:tbl>
    <w:p w14:paraId="7065776E" w14:textId="0EC75C7E" w:rsidR="00EC217C" w:rsidRPr="00D04E7B" w:rsidRDefault="00E16C56" w:rsidP="00B0405B">
      <w:pPr>
        <w:pStyle w:val="Heading2"/>
        <w:spacing w:before="480"/>
      </w:pPr>
      <w:bookmarkStart w:id="49" w:name="_Toc185261684"/>
      <w:bookmarkStart w:id="50" w:name="_Toc185507592"/>
      <w:bookmarkStart w:id="51" w:name="_Toc187054524"/>
      <w:bookmarkStart w:id="52" w:name="_Toc187056510"/>
      <w:r w:rsidRPr="00D04E7B">
        <w:t xml:space="preserve">Disparate Impact and </w:t>
      </w:r>
      <w:r w:rsidR="00EC217C" w:rsidRPr="00D04E7B">
        <w:t>Anti-Camping Laws</w:t>
      </w:r>
      <w:bookmarkEnd w:id="49"/>
      <w:bookmarkEnd w:id="50"/>
      <w:bookmarkEnd w:id="51"/>
      <w:bookmarkEnd w:id="52"/>
      <w:r w:rsidR="00EC217C" w:rsidRPr="00D04E7B">
        <w:t xml:space="preserve"> </w:t>
      </w:r>
    </w:p>
    <w:p w14:paraId="53895B94" w14:textId="3CB31161" w:rsidR="00EC217C" w:rsidRPr="00F91174" w:rsidRDefault="5A3FE6F3" w:rsidP="00F91174">
      <w:r w:rsidRPr="00D04E7B">
        <w:t xml:space="preserve">Unhoused people with disabilities may challenge anti-camping laws based on disparate impact prohibited by Title II of the ADA. Requirements to move frequently, limitations on camping in certain locations, short notice periods, and bans on sleeping outside are harder for people with disabilities to comply with and are likely to exacerbate the health and well-being of people with disabilities. </w:t>
      </w:r>
      <w:r w:rsidR="00C662F2" w:rsidRPr="00D04E7B">
        <w:t xml:space="preserve">People with disabilities are more likely to rely on others, like service providers, family, and community members to support and assist them. </w:t>
      </w:r>
      <w:r w:rsidR="00FE091F" w:rsidRPr="00D04E7B">
        <w:t>Thus, r</w:t>
      </w:r>
      <w:r w:rsidRPr="00D04E7B">
        <w:t xml:space="preserve">equirements to move often make it harder for </w:t>
      </w:r>
      <w:r w:rsidR="00C662F2" w:rsidRPr="00D04E7B">
        <w:t xml:space="preserve">people </w:t>
      </w:r>
      <w:r w:rsidR="007304A4" w:rsidRPr="00D04E7B">
        <w:t>with disabilities to receive help</w:t>
      </w:r>
      <w:r w:rsidRPr="00D04E7B">
        <w:t xml:space="preserve">. Below are common provisions in criminalization laws and how they may disproportionately impact people with disabilities. </w:t>
      </w:r>
    </w:p>
    <w:tbl>
      <w:tblPr>
        <w:tblStyle w:val="TableGrid"/>
        <w:tblW w:w="10070" w:type="dxa"/>
        <w:tblLayout w:type="fixed"/>
        <w:tblCellMar>
          <w:top w:w="115" w:type="dxa"/>
          <w:bottom w:w="115" w:type="dxa"/>
        </w:tblCellMar>
        <w:tblLook w:val="04A0" w:firstRow="1" w:lastRow="0" w:firstColumn="1" w:lastColumn="0" w:noHBand="0" w:noVBand="1"/>
      </w:tblPr>
      <w:tblGrid>
        <w:gridCol w:w="3420"/>
        <w:gridCol w:w="6650"/>
      </w:tblGrid>
      <w:tr w:rsidR="00EC217C" w:rsidRPr="00D04E7B" w14:paraId="0123C867" w14:textId="77777777" w:rsidTr="00B0405B">
        <w:trPr>
          <w:trHeight w:val="370"/>
        </w:trPr>
        <w:tc>
          <w:tcPr>
            <w:tcW w:w="3420" w:type="dxa"/>
            <w:shd w:val="clear" w:color="auto" w:fill="F2F2F2" w:themeFill="background1" w:themeFillShade="F2"/>
            <w:vAlign w:val="center"/>
          </w:tcPr>
          <w:p w14:paraId="578B0F30" w14:textId="5C10D273" w:rsidR="00EC217C" w:rsidRPr="00B0405B" w:rsidRDefault="00EC217C" w:rsidP="00B0405B">
            <w:pPr>
              <w:spacing w:before="0" w:after="0" w:line="280" w:lineRule="exact"/>
              <w:jc w:val="center"/>
              <w:rPr>
                <w:b/>
                <w:bCs/>
                <w:sz w:val="24"/>
                <w:szCs w:val="24"/>
              </w:rPr>
            </w:pPr>
            <w:r w:rsidRPr="00B0405B">
              <w:rPr>
                <w:b/>
                <w:bCs/>
                <w:sz w:val="24"/>
                <w:szCs w:val="24"/>
              </w:rPr>
              <w:t>Anti-Camping Provision</w:t>
            </w:r>
          </w:p>
        </w:tc>
        <w:tc>
          <w:tcPr>
            <w:tcW w:w="6650" w:type="dxa"/>
            <w:shd w:val="clear" w:color="auto" w:fill="F2F2F2" w:themeFill="background1" w:themeFillShade="F2"/>
            <w:vAlign w:val="center"/>
          </w:tcPr>
          <w:p w14:paraId="0CD276CA" w14:textId="0C666AA2" w:rsidR="00EC217C" w:rsidRPr="00B0405B" w:rsidRDefault="00EC217C" w:rsidP="00B0405B">
            <w:pPr>
              <w:spacing w:before="0" w:after="0" w:line="280" w:lineRule="exact"/>
              <w:jc w:val="center"/>
              <w:rPr>
                <w:b/>
                <w:bCs/>
                <w:sz w:val="24"/>
                <w:szCs w:val="24"/>
              </w:rPr>
            </w:pPr>
            <w:r w:rsidRPr="00B0405B">
              <w:rPr>
                <w:b/>
                <w:bCs/>
                <w:sz w:val="24"/>
                <w:szCs w:val="24"/>
              </w:rPr>
              <w:t>Impact on Disability</w:t>
            </w:r>
          </w:p>
        </w:tc>
      </w:tr>
      <w:tr w:rsidR="00EC217C" w:rsidRPr="00D04E7B" w14:paraId="0528D4F2" w14:textId="77777777" w:rsidTr="00B0405B">
        <w:trPr>
          <w:trHeight w:val="1765"/>
        </w:trPr>
        <w:tc>
          <w:tcPr>
            <w:tcW w:w="3420" w:type="dxa"/>
          </w:tcPr>
          <w:p w14:paraId="54CBC08D" w14:textId="77777777" w:rsidR="00EC217C" w:rsidRPr="00B0405B" w:rsidRDefault="00EC217C" w:rsidP="00DD051B">
            <w:pPr>
              <w:spacing w:before="0" w:after="0" w:line="240" w:lineRule="auto"/>
              <w:rPr>
                <w:b/>
                <w:bCs/>
                <w:sz w:val="24"/>
                <w:szCs w:val="24"/>
              </w:rPr>
            </w:pPr>
            <w:r w:rsidRPr="00B0405B">
              <w:rPr>
                <w:b/>
                <w:bCs/>
                <w:sz w:val="24"/>
                <w:szCs w:val="24"/>
              </w:rPr>
              <w:t>Temporal limitations.</w:t>
            </w:r>
          </w:p>
          <w:p w14:paraId="27A6D6B7" w14:textId="201B59EC" w:rsidR="00EC217C" w:rsidRPr="00B0405B" w:rsidRDefault="00EC217C" w:rsidP="00DD051B">
            <w:pPr>
              <w:spacing w:before="0" w:after="0" w:line="240" w:lineRule="auto"/>
              <w:rPr>
                <w:sz w:val="24"/>
                <w:szCs w:val="24"/>
              </w:rPr>
            </w:pPr>
            <w:r w:rsidRPr="00B0405B">
              <w:rPr>
                <w:sz w:val="24"/>
                <w:szCs w:val="24"/>
                <w:u w:val="single"/>
              </w:rPr>
              <w:t>Example</w:t>
            </w:r>
            <w:r w:rsidRPr="00B0405B">
              <w:rPr>
                <w:sz w:val="24"/>
                <w:szCs w:val="24"/>
              </w:rPr>
              <w:t>: A person may only camp in one location for 24 hours.</w:t>
            </w:r>
          </w:p>
        </w:tc>
        <w:tc>
          <w:tcPr>
            <w:tcW w:w="6650" w:type="dxa"/>
          </w:tcPr>
          <w:p w14:paraId="75D84700" w14:textId="545572CC" w:rsidR="00EC217C" w:rsidRPr="00B0405B" w:rsidRDefault="5A3FE6F3" w:rsidP="00DD051B">
            <w:pPr>
              <w:spacing w:before="0" w:after="0" w:line="240" w:lineRule="auto"/>
              <w:rPr>
                <w:sz w:val="24"/>
                <w:szCs w:val="24"/>
              </w:rPr>
            </w:pPr>
            <w:r w:rsidRPr="00B0405B">
              <w:rPr>
                <w:sz w:val="24"/>
                <w:szCs w:val="24"/>
              </w:rPr>
              <w:t>People with mobility disabilities may not be able to move frequently, and doing so may exacerbate their physical condition. People with mental</w:t>
            </w:r>
            <w:r w:rsidR="00C662F2" w:rsidRPr="00B0405B">
              <w:rPr>
                <w:sz w:val="24"/>
                <w:szCs w:val="24"/>
              </w:rPr>
              <w:t xml:space="preserve"> health disabilities or I/DD</w:t>
            </w:r>
            <w:r w:rsidRPr="00B0405B">
              <w:rPr>
                <w:sz w:val="24"/>
                <w:szCs w:val="24"/>
              </w:rPr>
              <w:t xml:space="preserve"> may become increasingly distressed and confused when they are forced into an unfamiliar environment or forced to constantly move and follow complex rules.</w:t>
            </w:r>
          </w:p>
        </w:tc>
      </w:tr>
    </w:tbl>
    <w:p w14:paraId="0EC41FC7" w14:textId="77777777" w:rsidR="00B0405B" w:rsidRDefault="00B0405B"/>
    <w:p w14:paraId="04132229" w14:textId="77777777" w:rsidR="00B0405B" w:rsidRDefault="00B0405B"/>
    <w:tbl>
      <w:tblPr>
        <w:tblStyle w:val="TableGrid"/>
        <w:tblW w:w="10070" w:type="dxa"/>
        <w:tblLayout w:type="fixed"/>
        <w:tblCellMar>
          <w:top w:w="115" w:type="dxa"/>
          <w:bottom w:w="115" w:type="dxa"/>
        </w:tblCellMar>
        <w:tblLook w:val="04A0" w:firstRow="1" w:lastRow="0" w:firstColumn="1" w:lastColumn="0" w:noHBand="0" w:noVBand="1"/>
      </w:tblPr>
      <w:tblGrid>
        <w:gridCol w:w="3420"/>
        <w:gridCol w:w="6650"/>
      </w:tblGrid>
      <w:tr w:rsidR="00B0405B" w:rsidRPr="00D04E7B" w14:paraId="24DB5526" w14:textId="77777777" w:rsidTr="00B0405B">
        <w:trPr>
          <w:trHeight w:val="136"/>
        </w:trPr>
        <w:tc>
          <w:tcPr>
            <w:tcW w:w="3420" w:type="dxa"/>
            <w:shd w:val="clear" w:color="auto" w:fill="F2F2F2" w:themeFill="background1" w:themeFillShade="F2"/>
            <w:vAlign w:val="center"/>
          </w:tcPr>
          <w:p w14:paraId="6C474177" w14:textId="4C5AD4BB" w:rsidR="00B0405B" w:rsidRPr="00B0405B" w:rsidRDefault="00B0405B" w:rsidP="00B0405B">
            <w:pPr>
              <w:spacing w:before="0" w:after="0" w:line="240" w:lineRule="auto"/>
              <w:jc w:val="center"/>
              <w:rPr>
                <w:b/>
                <w:bCs/>
              </w:rPr>
            </w:pPr>
            <w:r w:rsidRPr="00B0405B">
              <w:rPr>
                <w:b/>
                <w:bCs/>
                <w:sz w:val="24"/>
                <w:szCs w:val="24"/>
              </w:rPr>
              <w:lastRenderedPageBreak/>
              <w:t>Anti-Camping Provision</w:t>
            </w:r>
          </w:p>
        </w:tc>
        <w:tc>
          <w:tcPr>
            <w:tcW w:w="6650" w:type="dxa"/>
            <w:shd w:val="clear" w:color="auto" w:fill="F2F2F2" w:themeFill="background1" w:themeFillShade="F2"/>
            <w:vAlign w:val="center"/>
          </w:tcPr>
          <w:p w14:paraId="04A76506" w14:textId="3B504DCE" w:rsidR="00B0405B" w:rsidRPr="00B0405B" w:rsidRDefault="00B0405B" w:rsidP="00B0405B">
            <w:pPr>
              <w:spacing w:before="0" w:after="0" w:line="240" w:lineRule="auto"/>
              <w:jc w:val="center"/>
            </w:pPr>
            <w:r w:rsidRPr="00B0405B">
              <w:rPr>
                <w:b/>
                <w:bCs/>
                <w:sz w:val="24"/>
                <w:szCs w:val="24"/>
              </w:rPr>
              <w:t>Impact on Disability</w:t>
            </w:r>
          </w:p>
        </w:tc>
      </w:tr>
      <w:tr w:rsidR="00B0405B" w:rsidRPr="00D04E7B" w14:paraId="51A61DA2" w14:textId="77777777" w:rsidTr="00B0405B">
        <w:trPr>
          <w:trHeight w:val="1765"/>
        </w:trPr>
        <w:tc>
          <w:tcPr>
            <w:tcW w:w="3420" w:type="dxa"/>
          </w:tcPr>
          <w:p w14:paraId="1CB32FDC" w14:textId="77777777" w:rsidR="00B0405B" w:rsidRPr="00B0405B" w:rsidRDefault="00B0405B" w:rsidP="00B0405B">
            <w:pPr>
              <w:spacing w:before="0" w:after="0" w:line="240" w:lineRule="auto"/>
              <w:rPr>
                <w:b/>
                <w:bCs/>
                <w:sz w:val="24"/>
                <w:szCs w:val="24"/>
              </w:rPr>
            </w:pPr>
            <w:r w:rsidRPr="00B0405B">
              <w:rPr>
                <w:b/>
                <w:bCs/>
                <w:sz w:val="24"/>
                <w:szCs w:val="24"/>
              </w:rPr>
              <w:t>Geographic limitations.</w:t>
            </w:r>
          </w:p>
          <w:p w14:paraId="028986C9" w14:textId="213FD52E" w:rsidR="00B0405B" w:rsidRPr="00B0405B" w:rsidRDefault="00B0405B" w:rsidP="00B0405B">
            <w:pPr>
              <w:spacing w:before="0" w:after="0" w:line="240" w:lineRule="auto"/>
              <w:rPr>
                <w:b/>
                <w:bCs/>
                <w:sz w:val="24"/>
                <w:szCs w:val="24"/>
              </w:rPr>
            </w:pPr>
            <w:r w:rsidRPr="00B0405B">
              <w:rPr>
                <w:sz w:val="24"/>
                <w:szCs w:val="24"/>
                <w:u w:val="single"/>
              </w:rPr>
              <w:t>Example</w:t>
            </w:r>
            <w:r w:rsidRPr="00B0405B">
              <w:rPr>
                <w:sz w:val="24"/>
                <w:szCs w:val="24"/>
              </w:rPr>
              <w:t>: Prohibition of camping on public property, private property, commercial areas, government buildings, critical infrastructure, etc.</w:t>
            </w:r>
          </w:p>
        </w:tc>
        <w:tc>
          <w:tcPr>
            <w:tcW w:w="6650" w:type="dxa"/>
          </w:tcPr>
          <w:p w14:paraId="71046BBD" w14:textId="28E1F96A" w:rsidR="00B0405B" w:rsidRPr="00B0405B" w:rsidRDefault="00B0405B" w:rsidP="00B0405B">
            <w:pPr>
              <w:spacing w:before="0" w:after="0" w:line="240" w:lineRule="auto"/>
              <w:rPr>
                <w:sz w:val="24"/>
                <w:szCs w:val="24"/>
              </w:rPr>
            </w:pPr>
            <w:r w:rsidRPr="00B0405B">
              <w:rPr>
                <w:sz w:val="24"/>
                <w:szCs w:val="24"/>
              </w:rPr>
              <w:t>Disabled people may be prevented from living near services, treatment, or medical centers where they receive services. Being near a grocery store or other commercial area may be important for a person who cannot travel long distances because of their disability or need quick access to resources. Location limitations may also prevent people with mobility disabilities from accessing public transportation. Pushing people into different locations can also be detrimental for people with mental health disabilities or I/DD because they are repeatedly forced into unfamiliar environments. Further, varied rules on available locations to camp can be hard to understand and follow, causing confusion and distress.</w:t>
            </w:r>
          </w:p>
        </w:tc>
      </w:tr>
      <w:tr w:rsidR="00B0405B" w:rsidRPr="00D04E7B" w14:paraId="13899655" w14:textId="77777777" w:rsidTr="00B0405B">
        <w:trPr>
          <w:trHeight w:val="1765"/>
        </w:trPr>
        <w:tc>
          <w:tcPr>
            <w:tcW w:w="3420" w:type="dxa"/>
          </w:tcPr>
          <w:p w14:paraId="53210EA3" w14:textId="77777777" w:rsidR="00B0405B" w:rsidRPr="00B0405B" w:rsidRDefault="00B0405B" w:rsidP="00B0405B">
            <w:pPr>
              <w:spacing w:before="0" w:after="0" w:line="240" w:lineRule="auto"/>
              <w:rPr>
                <w:b/>
                <w:bCs/>
                <w:sz w:val="24"/>
                <w:szCs w:val="24"/>
              </w:rPr>
            </w:pPr>
            <w:r w:rsidRPr="00B0405B">
              <w:rPr>
                <w:b/>
                <w:bCs/>
                <w:sz w:val="24"/>
                <w:szCs w:val="24"/>
              </w:rPr>
              <w:t xml:space="preserve">Short notice periods before an encampment sweep. </w:t>
            </w:r>
          </w:p>
          <w:p w14:paraId="59B98A25" w14:textId="363B582F" w:rsidR="00B0405B" w:rsidRPr="00B0405B" w:rsidRDefault="00B0405B" w:rsidP="00B0405B">
            <w:pPr>
              <w:spacing w:before="0" w:after="0" w:line="240" w:lineRule="auto"/>
              <w:rPr>
                <w:b/>
                <w:bCs/>
                <w:sz w:val="24"/>
                <w:szCs w:val="24"/>
              </w:rPr>
            </w:pPr>
            <w:r w:rsidRPr="00B0405B">
              <w:rPr>
                <w:sz w:val="24"/>
                <w:szCs w:val="24"/>
                <w:u w:val="single"/>
              </w:rPr>
              <w:t>Example</w:t>
            </w:r>
            <w:r w:rsidRPr="00B0405B">
              <w:rPr>
                <w:sz w:val="24"/>
                <w:szCs w:val="24"/>
              </w:rPr>
              <w:t>: Post a notice to vacate at an encampment 24 to 72 hours before a sweep.</w:t>
            </w:r>
          </w:p>
        </w:tc>
        <w:tc>
          <w:tcPr>
            <w:tcW w:w="6650" w:type="dxa"/>
          </w:tcPr>
          <w:p w14:paraId="3DF5A361" w14:textId="1DB2DC2B" w:rsidR="00B0405B" w:rsidRPr="00B0405B" w:rsidRDefault="00B0405B" w:rsidP="00B0405B">
            <w:pPr>
              <w:spacing w:before="0" w:after="0" w:line="240" w:lineRule="auto"/>
              <w:rPr>
                <w:sz w:val="24"/>
                <w:szCs w:val="24"/>
              </w:rPr>
            </w:pPr>
            <w:r w:rsidRPr="00B0405B">
              <w:rPr>
                <w:sz w:val="24"/>
                <w:szCs w:val="24"/>
              </w:rPr>
              <w:t>It is harder for people with mobility or other physical disabilities to move on short notice because they may need assistance in moving items or need more time to adequately move. Short notice periods are also stressful and can exacerbate mental health disabilities. Short notice periods also make request reasonable modifications harder because there is only a short time to process the request.</w:t>
            </w:r>
          </w:p>
        </w:tc>
      </w:tr>
      <w:tr w:rsidR="00B0405B" w:rsidRPr="00D04E7B" w14:paraId="61821E76" w14:textId="77777777" w:rsidTr="00B0405B">
        <w:trPr>
          <w:trHeight w:val="1765"/>
        </w:trPr>
        <w:tc>
          <w:tcPr>
            <w:tcW w:w="3420" w:type="dxa"/>
          </w:tcPr>
          <w:p w14:paraId="57D789C1" w14:textId="77777777" w:rsidR="00B0405B" w:rsidRPr="00B0405B" w:rsidRDefault="00B0405B" w:rsidP="00B0405B">
            <w:pPr>
              <w:spacing w:before="0" w:after="0" w:line="240" w:lineRule="auto"/>
              <w:rPr>
                <w:b/>
                <w:bCs/>
                <w:sz w:val="24"/>
                <w:szCs w:val="24"/>
              </w:rPr>
            </w:pPr>
            <w:r w:rsidRPr="00B0405B">
              <w:rPr>
                <w:b/>
                <w:bCs/>
                <w:sz w:val="24"/>
                <w:szCs w:val="24"/>
              </w:rPr>
              <w:t xml:space="preserve">Limitations on the distance between tents, the space a person can occupy, and the number of people camping together. </w:t>
            </w:r>
          </w:p>
          <w:p w14:paraId="13253A39" w14:textId="02CC98BE" w:rsidR="00B0405B" w:rsidRPr="00B0405B" w:rsidRDefault="00B0405B" w:rsidP="00B0405B">
            <w:pPr>
              <w:spacing w:before="0" w:after="0" w:line="240" w:lineRule="auto"/>
              <w:rPr>
                <w:b/>
                <w:bCs/>
                <w:sz w:val="24"/>
                <w:szCs w:val="24"/>
              </w:rPr>
            </w:pPr>
            <w:r w:rsidRPr="00B0405B">
              <w:rPr>
                <w:sz w:val="24"/>
                <w:szCs w:val="24"/>
                <w:u w:val="single"/>
              </w:rPr>
              <w:t>Example:</w:t>
            </w:r>
            <w:r w:rsidRPr="00B0405B">
              <w:rPr>
                <w:sz w:val="24"/>
                <w:szCs w:val="24"/>
              </w:rPr>
              <w:t xml:space="preserve"> Tents must be 200 feet apart and cannot take up more than 100 square feet of space. No more than two people can camp together.</w:t>
            </w:r>
          </w:p>
        </w:tc>
        <w:tc>
          <w:tcPr>
            <w:tcW w:w="6650" w:type="dxa"/>
          </w:tcPr>
          <w:p w14:paraId="163745EC" w14:textId="7E0C6C83" w:rsidR="00B0405B" w:rsidRPr="00B0405B" w:rsidRDefault="00B0405B" w:rsidP="00B0405B">
            <w:pPr>
              <w:spacing w:before="0" w:after="0" w:line="240" w:lineRule="auto"/>
              <w:rPr>
                <w:sz w:val="24"/>
                <w:szCs w:val="24"/>
              </w:rPr>
            </w:pPr>
            <w:r w:rsidRPr="00B0405B">
              <w:rPr>
                <w:sz w:val="24"/>
                <w:szCs w:val="24"/>
              </w:rPr>
              <w:t>Prevents disabled people from being near people who are caregivers, assist with daily needs, or provide emotional support. Disabled people may need to live with others to get food and necessities. Being near others also provides safety and can help people with mental health disabilities like PTSD. Limitations on space also prevents people from responding to the health emergencies of others, such as a heart attack or seizure. Limitations on the amount of space a person can occupy may also prevent people with medical equipment, like a wheelchair, from having adequate space for themselves and their equipment.</w:t>
            </w:r>
          </w:p>
        </w:tc>
      </w:tr>
      <w:tr w:rsidR="00B0405B" w:rsidRPr="00D04E7B" w14:paraId="2EE524BF" w14:textId="77777777" w:rsidTr="00B0405B">
        <w:trPr>
          <w:trHeight w:val="1765"/>
        </w:trPr>
        <w:tc>
          <w:tcPr>
            <w:tcW w:w="3420" w:type="dxa"/>
          </w:tcPr>
          <w:p w14:paraId="27BF6F8E" w14:textId="77777777" w:rsidR="00B0405B" w:rsidRPr="00B0405B" w:rsidRDefault="00B0405B" w:rsidP="00B0405B">
            <w:pPr>
              <w:spacing w:before="0" w:after="0" w:line="240" w:lineRule="auto"/>
              <w:rPr>
                <w:b/>
                <w:bCs/>
                <w:sz w:val="24"/>
                <w:szCs w:val="24"/>
              </w:rPr>
            </w:pPr>
            <w:r w:rsidRPr="00B0405B">
              <w:rPr>
                <w:b/>
                <w:bCs/>
                <w:sz w:val="24"/>
                <w:szCs w:val="24"/>
              </w:rPr>
              <w:t>Limitations on items that can be in a camp.</w:t>
            </w:r>
          </w:p>
          <w:p w14:paraId="34C73018" w14:textId="76276EF4" w:rsidR="00B0405B" w:rsidRPr="00B0405B" w:rsidRDefault="00B0405B" w:rsidP="00B0405B">
            <w:pPr>
              <w:spacing w:before="0" w:after="0" w:line="240" w:lineRule="auto"/>
              <w:rPr>
                <w:b/>
                <w:bCs/>
                <w:sz w:val="24"/>
                <w:szCs w:val="24"/>
              </w:rPr>
            </w:pPr>
            <w:r w:rsidRPr="00B0405B">
              <w:rPr>
                <w:sz w:val="24"/>
                <w:szCs w:val="24"/>
                <w:u w:val="single"/>
              </w:rPr>
              <w:t>Example:</w:t>
            </w:r>
            <w:r w:rsidRPr="00B0405B">
              <w:rPr>
                <w:sz w:val="24"/>
                <w:szCs w:val="24"/>
              </w:rPr>
              <w:t xml:space="preserve"> No sleeping bags, tents, bikes, pets, and bedding.</w:t>
            </w:r>
          </w:p>
        </w:tc>
        <w:tc>
          <w:tcPr>
            <w:tcW w:w="6650" w:type="dxa"/>
          </w:tcPr>
          <w:p w14:paraId="588CDC1D" w14:textId="61D874B5" w:rsidR="00B0405B" w:rsidRPr="00B0405B" w:rsidRDefault="00B0405B" w:rsidP="00B0405B">
            <w:pPr>
              <w:spacing w:before="0" w:after="0" w:line="240" w:lineRule="auto"/>
              <w:rPr>
                <w:sz w:val="24"/>
                <w:szCs w:val="24"/>
              </w:rPr>
            </w:pPr>
            <w:r w:rsidRPr="00B0405B">
              <w:rPr>
                <w:sz w:val="24"/>
                <w:szCs w:val="24"/>
              </w:rPr>
              <w:t>This may prevent a person with a disability from keeping an assistance animal and/or items essential to daily living and survival. Without tents and bedding, people with disabilities, such as those who are immunocompromised, are at risk of getting sick or exacerbating their disability.</w:t>
            </w:r>
          </w:p>
        </w:tc>
      </w:tr>
    </w:tbl>
    <w:p w14:paraId="1FC5137B" w14:textId="75CCD84E" w:rsidR="00EC217C" w:rsidRPr="00D04E7B" w:rsidRDefault="0007095D" w:rsidP="006E236A">
      <w:r w:rsidRPr="00D04E7B">
        <w:lastRenderedPageBreak/>
        <w:t>A</w:t>
      </w:r>
      <w:r w:rsidR="00EC217C" w:rsidRPr="00D04E7B">
        <w:t>nti-camping law</w:t>
      </w:r>
      <w:r w:rsidRPr="00D04E7B">
        <w:t>s</w:t>
      </w:r>
      <w:r w:rsidR="00EC217C" w:rsidRPr="00D04E7B">
        <w:t xml:space="preserve"> may violate the ADA if </w:t>
      </w:r>
      <w:r w:rsidR="00F47E6F" w:rsidRPr="00D04E7B">
        <w:t>they</w:t>
      </w:r>
      <w:r w:rsidR="00EC217C" w:rsidRPr="00D04E7B">
        <w:t xml:space="preserve"> disparately impact or burden people with disabilities.</w:t>
      </w:r>
      <w:r w:rsidR="00EC217C" w:rsidRPr="00D04E7B">
        <w:rPr>
          <w:rStyle w:val="FootnoteReference"/>
        </w:rPr>
        <w:footnoteReference w:id="67"/>
      </w:r>
      <w:r w:rsidR="00EC217C" w:rsidRPr="00D04E7B">
        <w:t xml:space="preserve"> In </w:t>
      </w:r>
      <w:r w:rsidR="00EC217C" w:rsidRPr="00D04E7B">
        <w:rPr>
          <w:i/>
          <w:iCs/>
        </w:rPr>
        <w:t xml:space="preserve">Bloom v. City of San Diego, </w:t>
      </w:r>
      <w:r w:rsidR="00847E71" w:rsidRPr="00D04E7B">
        <w:t>people with disabilities challen</w:t>
      </w:r>
      <w:r w:rsidR="00480EDF" w:rsidRPr="00D04E7B">
        <w:t>ged</w:t>
      </w:r>
      <w:r w:rsidR="00847E71" w:rsidRPr="00D04E7B">
        <w:t xml:space="preserve"> a law that prohibited people from living in RV</w:t>
      </w:r>
      <w:r w:rsidR="00480EDF" w:rsidRPr="00D04E7B">
        <w:t xml:space="preserve">s. San Deigo sought to dismiss the case, but </w:t>
      </w:r>
      <w:r w:rsidR="00EC217C" w:rsidRPr="00D04E7B">
        <w:t xml:space="preserve">the court declined, holding that although the RV parking ordinance at issue applied to disabled and non-disabled people equally, the enforcement of the </w:t>
      </w:r>
      <w:r w:rsidR="00340BE3" w:rsidRPr="00D04E7B">
        <w:t xml:space="preserve">law </w:t>
      </w:r>
      <w:r w:rsidR="00EC217C" w:rsidRPr="00D04E7B">
        <w:t>burdened disabled "persons in a manner different and greater than it burdens others.”</w:t>
      </w:r>
      <w:r w:rsidR="00EC217C" w:rsidRPr="00D04E7B">
        <w:rPr>
          <w:rStyle w:val="FootnoteReference"/>
        </w:rPr>
        <w:footnoteReference w:id="68"/>
      </w:r>
      <w:r w:rsidR="00EC217C" w:rsidRPr="00D04E7B">
        <w:t xml:space="preserve"> Because people with disabilities were uniquely dependent on RVs to live, the City's ordinances "effectively </w:t>
      </w:r>
      <w:proofErr w:type="spellStart"/>
      <w:r w:rsidR="00EC217C" w:rsidRPr="00D04E7B">
        <w:t>denie</w:t>
      </w:r>
      <w:proofErr w:type="spellEnd"/>
      <w:r w:rsidR="00EC217C" w:rsidRPr="00D04E7B">
        <w:t>[d] these persons. . . meaningful access to the City's services, programs, and activities, which are easily accessible by others.”</w:t>
      </w:r>
      <w:r w:rsidR="00EC217C" w:rsidRPr="00D04E7B">
        <w:rPr>
          <w:rStyle w:val="FootnoteReference"/>
        </w:rPr>
        <w:footnoteReference w:id="69"/>
      </w:r>
      <w:r w:rsidR="00CD4166" w:rsidRPr="00D04E7B">
        <w:t xml:space="preserve"> </w:t>
      </w:r>
    </w:p>
    <w:p w14:paraId="473DE2F1" w14:textId="77777777" w:rsidR="008A1EBE" w:rsidRDefault="003A66E1" w:rsidP="00843627">
      <w:r w:rsidRPr="00D04E7B">
        <w:t xml:space="preserve">To enforce criminalization laws or </w:t>
      </w:r>
      <w:r w:rsidR="007E3A27" w:rsidRPr="00D04E7B">
        <w:t>disburse</w:t>
      </w:r>
      <w:r w:rsidRPr="00D04E7B">
        <w:t xml:space="preserve"> encampment</w:t>
      </w:r>
      <w:r w:rsidR="007E3A27" w:rsidRPr="00D04E7B">
        <w:t>s</w:t>
      </w:r>
      <w:r w:rsidRPr="00D04E7B">
        <w:t xml:space="preserve">, municipalities conduct sweeps, which also have a disparate impact on people with disabilities. </w:t>
      </w:r>
      <w:r w:rsidR="003D24E1" w:rsidRPr="00D04E7B">
        <w:t>During an encampment sweep, law enforcement or other public entities indiscriminately dispose of most</w:t>
      </w:r>
      <w:r w:rsidR="00DF7CA9" w:rsidRPr="00D04E7B">
        <w:t>,</w:t>
      </w:r>
      <w:r w:rsidR="003D24E1" w:rsidRPr="00D04E7B">
        <w:t xml:space="preserve"> if not all property in an encampment. It is common for people with disabilities to lose items essential to living with their disabilities such as</w:t>
      </w:r>
      <w:r w:rsidRPr="00D04E7B">
        <w:t xml:space="preserve"> medical equipment and medication.</w:t>
      </w:r>
      <w:r w:rsidRPr="00D04E7B">
        <w:rPr>
          <w:rStyle w:val="FootnoteReference"/>
        </w:rPr>
        <w:footnoteReference w:id="70"/>
      </w:r>
      <w:r w:rsidRPr="00D04E7B">
        <w:t xml:space="preserve"> In this way, local l</w:t>
      </w:r>
      <w:r w:rsidR="00D632D0" w:rsidRPr="00D04E7B">
        <w:t>aws and policies that govern encampment sweeps may be facially neutral but have a disparate impact on people with disabilities</w:t>
      </w:r>
      <w:r w:rsidR="00843627">
        <w:t>.</w:t>
      </w:r>
      <w:bookmarkStart w:id="53" w:name="_Toc185261686"/>
      <w:r w:rsidR="00843627" w:rsidRPr="004161C7">
        <w:t xml:space="preserve"> </w:t>
      </w:r>
    </w:p>
    <w:p w14:paraId="3B245BB7" w14:textId="71AC6B36" w:rsidR="00EC217C" w:rsidRPr="009D3BED" w:rsidRDefault="00CD25EF" w:rsidP="003A65FD">
      <w:pPr>
        <w:pStyle w:val="Heading1"/>
        <w:spacing w:before="600"/>
      </w:pPr>
      <w:bookmarkStart w:id="54" w:name="_Toc185507593"/>
      <w:bookmarkStart w:id="55" w:name="_Toc187054525"/>
      <w:bookmarkStart w:id="56" w:name="_Toc187056511"/>
      <w:r w:rsidRPr="009D3BED">
        <w:t xml:space="preserve">Chapter 4: </w:t>
      </w:r>
      <w:r w:rsidR="00EC217C" w:rsidRPr="009D3BED">
        <w:t>Reasonable Modifications</w:t>
      </w:r>
      <w:r w:rsidRPr="009D3BED">
        <w:t xml:space="preserve"> under Tit</w:t>
      </w:r>
      <w:r w:rsidR="00A13B11" w:rsidRPr="009D3BED">
        <w:t xml:space="preserve">le II of the </w:t>
      </w:r>
      <w:bookmarkEnd w:id="53"/>
      <w:r w:rsidR="009D3BED" w:rsidRPr="009D3BED">
        <w:t>A</w:t>
      </w:r>
      <w:r w:rsidR="00FA1F84">
        <w:t>mericans with Disabilities Act</w:t>
      </w:r>
      <w:bookmarkEnd w:id="54"/>
      <w:bookmarkEnd w:id="55"/>
      <w:bookmarkEnd w:id="56"/>
    </w:p>
    <w:p w14:paraId="3E7F167D" w14:textId="6363E918" w:rsidR="005E1C06" w:rsidRPr="00D04E7B" w:rsidRDefault="00ED2975" w:rsidP="006E236A">
      <w:r w:rsidRPr="00D04E7B">
        <w:t>To alleviate the impact of anti-camping laws,</w:t>
      </w:r>
      <w:r w:rsidR="00EC217C" w:rsidRPr="00D04E7B">
        <w:t xml:space="preserve"> reasonable modification</w:t>
      </w:r>
      <w:r w:rsidR="00CE4C90" w:rsidRPr="00D04E7B">
        <w:t>s</w:t>
      </w:r>
      <w:r w:rsidR="000E7704" w:rsidRPr="00D04E7B">
        <w:t xml:space="preserve"> or reasonable accommodations</w:t>
      </w:r>
      <w:r w:rsidR="00ED3ACC" w:rsidRPr="00D04E7B">
        <w:rPr>
          <w:rStyle w:val="FootnoteReference"/>
        </w:rPr>
        <w:footnoteReference w:id="71"/>
      </w:r>
      <w:r w:rsidR="00EC217C" w:rsidRPr="00D04E7B">
        <w:t xml:space="preserve"> </w:t>
      </w:r>
      <w:r w:rsidR="00315D15" w:rsidRPr="00D04E7B">
        <w:t xml:space="preserve">may be necessary </w:t>
      </w:r>
      <w:r w:rsidR="00EC217C" w:rsidRPr="00D04E7B">
        <w:t>to change</w:t>
      </w:r>
      <w:r w:rsidR="00315D15" w:rsidRPr="00D04E7B">
        <w:t xml:space="preserve"> </w:t>
      </w:r>
      <w:r w:rsidR="006478A7" w:rsidRPr="00D04E7B">
        <w:t>how a law is implemented</w:t>
      </w:r>
      <w:r w:rsidR="00EC217C" w:rsidRPr="00D04E7B">
        <w:t>.</w:t>
      </w:r>
      <w:r w:rsidR="00EC217C" w:rsidRPr="00D04E7B">
        <w:rPr>
          <w:rStyle w:val="FootnoteReference"/>
        </w:rPr>
        <w:footnoteReference w:id="72"/>
      </w:r>
      <w:r w:rsidR="00EC217C" w:rsidRPr="00D04E7B">
        <w:t xml:space="preserve"> </w:t>
      </w:r>
      <w:r w:rsidR="00551F85" w:rsidRPr="00D04E7B">
        <w:t>A r</w:t>
      </w:r>
      <w:r w:rsidR="00242C53" w:rsidRPr="00D04E7B">
        <w:t>easonable modification</w:t>
      </w:r>
      <w:r w:rsidR="00307773" w:rsidRPr="00D04E7B">
        <w:t xml:space="preserve"> </w:t>
      </w:r>
      <w:r w:rsidR="00551F85" w:rsidRPr="00D04E7B">
        <w:t>can include</w:t>
      </w:r>
      <w:r w:rsidR="00242C53" w:rsidRPr="00D04E7B">
        <w:t xml:space="preserve"> changes in a public entity’s policy or practice to remedy systemic barriers.</w:t>
      </w:r>
      <w:r w:rsidR="00242C53" w:rsidRPr="00D04E7B">
        <w:rPr>
          <w:rStyle w:val="FootnoteReference"/>
        </w:rPr>
        <w:footnoteReference w:id="73"/>
      </w:r>
      <w:r w:rsidR="00242C53" w:rsidRPr="00D04E7B">
        <w:t xml:space="preserve"> </w:t>
      </w:r>
      <w:r w:rsidR="00551F85" w:rsidRPr="00D04E7B">
        <w:t xml:space="preserve">Reasonable </w:t>
      </w:r>
      <w:r w:rsidR="000E7704" w:rsidRPr="00D04E7B">
        <w:t>modification</w:t>
      </w:r>
      <w:r w:rsidR="00CE75DB" w:rsidRPr="00D04E7B">
        <w:t>s</w:t>
      </w:r>
      <w:r w:rsidR="00551F85" w:rsidRPr="00D04E7B">
        <w:t xml:space="preserve"> may also </w:t>
      </w:r>
      <w:r w:rsidR="00BE33C9" w:rsidRPr="00D04E7B">
        <w:t>include individualized chan</w:t>
      </w:r>
      <w:r w:rsidR="005F2F28" w:rsidRPr="00D04E7B">
        <w:t>ges in practices for</w:t>
      </w:r>
      <w:r w:rsidR="00551F85" w:rsidRPr="00D04E7B">
        <w:t xml:space="preserve"> </w:t>
      </w:r>
      <w:r w:rsidR="005F2F28" w:rsidRPr="00D04E7B">
        <w:t>people</w:t>
      </w:r>
      <w:r w:rsidR="00551F85" w:rsidRPr="00D04E7B">
        <w:t xml:space="preserve"> </w:t>
      </w:r>
      <w:r w:rsidR="00551F85" w:rsidRPr="00D04E7B">
        <w:lastRenderedPageBreak/>
        <w:t>with disabilities</w:t>
      </w:r>
      <w:r w:rsidR="005F2F28" w:rsidRPr="00D04E7B">
        <w:t>, so they can</w:t>
      </w:r>
      <w:r w:rsidR="00551F85" w:rsidRPr="00D04E7B">
        <w:t xml:space="preserve"> access the benefits of a government program or activity.</w:t>
      </w:r>
      <w:r w:rsidR="00C91E8A" w:rsidRPr="00D04E7B">
        <w:t xml:space="preserve"> T</w:t>
      </w:r>
      <w:r w:rsidR="00807444" w:rsidRPr="00D04E7B">
        <w:t xml:space="preserve">he government has an affirmative obligation to make a reasonable modification. </w:t>
      </w:r>
      <w:r w:rsidR="00EC217C" w:rsidRPr="00D04E7B">
        <w:t xml:space="preserve">“A public entity shall make reasonable </w:t>
      </w:r>
      <w:r w:rsidR="00307773" w:rsidRPr="00D04E7B">
        <w:t>modifications in</w:t>
      </w:r>
      <w:r w:rsidR="00EC217C" w:rsidRPr="00D04E7B">
        <w:t xml:space="preserve"> policies, practices, or procedures when the modifications are necessary to avoid discrimination on the basis of disability....”</w:t>
      </w:r>
      <w:r w:rsidR="00EC217C" w:rsidRPr="00D04E7B">
        <w:rPr>
          <w:rStyle w:val="FootnoteReference"/>
        </w:rPr>
        <w:footnoteReference w:id="74"/>
      </w:r>
      <w:r w:rsidR="00A50A3F" w:rsidRPr="00D04E7B">
        <w:t xml:space="preserve"> </w:t>
      </w:r>
      <w:r w:rsidR="001041D5" w:rsidRPr="00D04E7B">
        <w:t>A person with a disability c</w:t>
      </w:r>
      <w:r w:rsidR="001B645C" w:rsidRPr="00D04E7B">
        <w:t>an</w:t>
      </w:r>
      <w:r w:rsidR="001041D5" w:rsidRPr="00D04E7B">
        <w:t xml:space="preserve"> request a reasonable modification or a public entity may </w:t>
      </w:r>
      <w:r w:rsidR="007B7AB2" w:rsidRPr="00D04E7B">
        <w:t>need</w:t>
      </w:r>
      <w:r w:rsidR="001041D5" w:rsidRPr="00D04E7B">
        <w:t xml:space="preserve"> to assess whether a person needs a reasonable modification</w:t>
      </w:r>
      <w:r w:rsidR="005F0A87" w:rsidRPr="00D04E7B">
        <w:t xml:space="preserve"> when </w:t>
      </w:r>
      <w:r w:rsidR="001041D5" w:rsidRPr="00D04E7B">
        <w:t xml:space="preserve">the need </w:t>
      </w:r>
      <w:r w:rsidR="005F0A87" w:rsidRPr="00D04E7B">
        <w:t>is</w:t>
      </w:r>
      <w:r w:rsidR="001041D5" w:rsidRPr="00D04E7B">
        <w:t>: “(1) Obvious, or should have been obvious</w:t>
      </w:r>
      <w:r w:rsidR="005F0A87" w:rsidRPr="00D04E7B">
        <w:t>…</w:t>
      </w:r>
      <w:r w:rsidR="001041D5" w:rsidRPr="00D04E7B">
        <w:t>or (2) Required by a statute or regulation.”</w:t>
      </w:r>
      <w:r w:rsidR="001041D5" w:rsidRPr="00D04E7B">
        <w:rPr>
          <w:rStyle w:val="FootnoteReference"/>
        </w:rPr>
        <w:footnoteReference w:id="75"/>
      </w:r>
      <w:r w:rsidR="001041D5" w:rsidRPr="00D04E7B">
        <w:t xml:space="preserve"> </w:t>
      </w:r>
    </w:p>
    <w:p w14:paraId="3F121BE3" w14:textId="46A60D36" w:rsidR="005D412E" w:rsidRPr="00D04E7B" w:rsidRDefault="0095750B" w:rsidP="006E236A">
      <w:pPr>
        <w:rPr>
          <w:i/>
          <w:iCs/>
        </w:rPr>
      </w:pPr>
      <w:r w:rsidRPr="00D04E7B">
        <w:t xml:space="preserve">Once a </w:t>
      </w:r>
      <w:r w:rsidR="006647CB" w:rsidRPr="00D04E7B">
        <w:t xml:space="preserve">need for </w:t>
      </w:r>
      <w:r w:rsidR="00D64302" w:rsidRPr="00D04E7B">
        <w:t>a modification</w:t>
      </w:r>
      <w:r w:rsidR="006647CB" w:rsidRPr="00D04E7B">
        <w:t xml:space="preserve"> is </w:t>
      </w:r>
      <w:r w:rsidR="00C43F27" w:rsidRPr="00D04E7B">
        <w:t>known</w:t>
      </w:r>
      <w:r w:rsidRPr="00D04E7B">
        <w:t>, assessing the merits of a reasonable modification “requires a fact-specific, individualized analysis of the disabled individual's circumstances and the accommodations that might allow him to meet the program’s standards.”</w:t>
      </w:r>
      <w:r w:rsidRPr="00D04E7B">
        <w:rPr>
          <w:rStyle w:val="FootnoteReference"/>
        </w:rPr>
        <w:footnoteReference w:id="76"/>
      </w:r>
      <w:r w:rsidR="005E1C06" w:rsidRPr="00D04E7B">
        <w:t xml:space="preserve"> A public entity </w:t>
      </w:r>
      <w:r w:rsidR="004D5E89" w:rsidRPr="00D04E7B">
        <w:t>may also engage in an interactive communicative process with the disabled person to discuss the request. However, this is not required.</w:t>
      </w:r>
      <w:r w:rsidR="004D5E89" w:rsidRPr="00D04E7B">
        <w:rPr>
          <w:rStyle w:val="FootnoteReference"/>
        </w:rPr>
        <w:footnoteReference w:id="77"/>
      </w:r>
      <w:r w:rsidR="005E1C06" w:rsidRPr="00D04E7B">
        <w:t xml:space="preserve"> A public entity need not give someone the exact reasonable modification </w:t>
      </w:r>
      <w:proofErr w:type="gramStart"/>
      <w:r w:rsidR="005E1C06" w:rsidRPr="00D04E7B">
        <w:t>requested, but</w:t>
      </w:r>
      <w:proofErr w:type="gramEnd"/>
      <w:r w:rsidR="005E1C06" w:rsidRPr="00D04E7B">
        <w:t xml:space="preserve"> can provide an alternative that still meets the needs of the requester. For example, </w:t>
      </w:r>
      <w:r w:rsidR="0078168F" w:rsidRPr="00D04E7B">
        <w:t xml:space="preserve">in </w:t>
      </w:r>
      <w:r w:rsidR="0078168F" w:rsidRPr="00D04E7B">
        <w:rPr>
          <w:i/>
          <w:iCs/>
        </w:rPr>
        <w:t>Prado v. City of Berkeley</w:t>
      </w:r>
      <w:r w:rsidR="0078168F" w:rsidRPr="00D04E7B">
        <w:t>, the court held</w:t>
      </w:r>
      <w:proofErr w:type="gramStart"/>
      <w:r w:rsidR="0078168F" w:rsidRPr="00D04E7B">
        <w:t>,</w:t>
      </w:r>
      <w:r w:rsidR="00A2490F">
        <w:t xml:space="preserve"> </w:t>
      </w:r>
      <w:r w:rsidR="0078168F" w:rsidRPr="00D04E7B">
        <w:t>”</w:t>
      </w:r>
      <w:r w:rsidR="005E1C06" w:rsidRPr="00D04E7B">
        <w:t>while</w:t>
      </w:r>
      <w:proofErr w:type="gramEnd"/>
      <w:r w:rsidR="005E1C06" w:rsidRPr="00D04E7B">
        <w:t xml:space="preserve"> provision of single-bed shelter rooms might (on a factual record) be a fundamental alteration of the City's program that is not required, provision of quieter spaces or areas otherwise separated from the larger congregate setting within an existing shelter arrangement might be a reasonable accommodation.”</w:t>
      </w:r>
      <w:r w:rsidR="005E1C06" w:rsidRPr="00D04E7B">
        <w:rPr>
          <w:rStyle w:val="FootnoteReference"/>
        </w:rPr>
        <w:footnoteReference w:id="78"/>
      </w:r>
      <w:r w:rsidR="005E1C06" w:rsidRPr="00D04E7B">
        <w:rPr>
          <w:i/>
          <w:iCs/>
        </w:rPr>
        <w:t xml:space="preserve"> </w:t>
      </w:r>
    </w:p>
    <w:p w14:paraId="3C0675BD" w14:textId="7EDD25C4" w:rsidR="005061CB" w:rsidRDefault="00F93043" w:rsidP="006E236A">
      <w:r w:rsidRPr="00D04E7B">
        <w:t xml:space="preserve">An unhoused person has the burden of proof to show that a reasonable </w:t>
      </w:r>
      <w:r w:rsidR="007927BB">
        <w:t>modification</w:t>
      </w:r>
      <w:r w:rsidR="007927BB" w:rsidRPr="00D04E7B">
        <w:t xml:space="preserve"> </w:t>
      </w:r>
      <w:r w:rsidRPr="00D04E7B">
        <w:t>is possible and reasonable.</w:t>
      </w:r>
      <w:r w:rsidRPr="00D04E7B">
        <w:rPr>
          <w:rStyle w:val="FootnoteReference"/>
        </w:rPr>
        <w:footnoteReference w:id="79"/>
      </w:r>
      <w:r w:rsidRPr="00D04E7B">
        <w:t xml:space="preserve"> Once this burden is met, the burden shifts to the government entity to rebut reasonableness.</w:t>
      </w:r>
      <w:r w:rsidRPr="00D04E7B">
        <w:rPr>
          <w:rStyle w:val="FootnoteReference"/>
        </w:rPr>
        <w:footnoteReference w:id="80"/>
      </w:r>
      <w:r w:rsidRPr="00D04E7B">
        <w:rPr>
          <w:i/>
          <w:iCs/>
        </w:rPr>
        <w:t xml:space="preserve"> </w:t>
      </w:r>
      <w:r w:rsidR="009C1128" w:rsidRPr="00D04E7B">
        <w:t xml:space="preserve">The government may assert that </w:t>
      </w:r>
      <w:r w:rsidR="00551F85" w:rsidRPr="00D04E7B">
        <w:t xml:space="preserve">it does not </w:t>
      </w:r>
      <w:r w:rsidR="005157E3" w:rsidRPr="00D04E7B">
        <w:t xml:space="preserve">have to grant a reasonable modification if it is a fundamental alteration, undue financial burden, undue administrative burden, </w:t>
      </w:r>
      <w:r w:rsidR="005157E3" w:rsidRPr="00D04E7B">
        <w:lastRenderedPageBreak/>
        <w:t>or direct threat to the health and safety of others.</w:t>
      </w:r>
      <w:r w:rsidR="005157E3" w:rsidRPr="00D04E7B">
        <w:rPr>
          <w:rStyle w:val="FootnoteReference"/>
        </w:rPr>
        <w:footnoteReference w:id="81"/>
      </w:r>
      <w:r w:rsidR="005157E3" w:rsidRPr="00D04E7B">
        <w:t xml:space="preserve"> </w:t>
      </w:r>
      <w:r w:rsidR="000C4E5E">
        <w:t>G</w:t>
      </w:r>
      <w:r w:rsidR="001B3887" w:rsidRPr="00D04E7B">
        <w:t>overnment defenses</w:t>
      </w:r>
      <w:r w:rsidR="000C4E5E">
        <w:t xml:space="preserve"> are expanded on in Chapter 5.</w:t>
      </w:r>
    </w:p>
    <w:tbl>
      <w:tblPr>
        <w:tblStyle w:val="TableGrid"/>
        <w:tblW w:w="0" w:type="auto"/>
        <w:tblLook w:val="04A0" w:firstRow="1" w:lastRow="0" w:firstColumn="1" w:lastColumn="0" w:noHBand="0" w:noVBand="1"/>
      </w:tblPr>
      <w:tblGrid>
        <w:gridCol w:w="9647"/>
      </w:tblGrid>
      <w:tr w:rsidR="00795961" w14:paraId="03AB64D8" w14:textId="77777777" w:rsidTr="004E368F">
        <w:trPr>
          <w:trHeight w:val="1160"/>
        </w:trPr>
        <w:tc>
          <w:tcPr>
            <w:tcW w:w="9647" w:type="dxa"/>
          </w:tcPr>
          <w:p w14:paraId="5807FE7D" w14:textId="04FEC312" w:rsidR="00795961" w:rsidRPr="00795961" w:rsidRDefault="00795961" w:rsidP="00CA47F0">
            <w:pPr>
              <w:spacing w:line="240" w:lineRule="auto"/>
              <w:jc w:val="center"/>
              <w:rPr>
                <w:b/>
                <w:bCs/>
                <w:sz w:val="28"/>
                <w:szCs w:val="28"/>
              </w:rPr>
            </w:pPr>
            <w:r w:rsidRPr="00795961">
              <w:rPr>
                <w:b/>
                <w:bCs/>
                <w:sz w:val="28"/>
                <w:szCs w:val="28"/>
              </w:rPr>
              <w:t xml:space="preserve">Case Highlight: Reasonable </w:t>
            </w:r>
            <w:r w:rsidR="007927BB">
              <w:rPr>
                <w:b/>
                <w:bCs/>
                <w:sz w:val="28"/>
                <w:szCs w:val="28"/>
              </w:rPr>
              <w:t>Modification</w:t>
            </w:r>
            <w:r w:rsidR="007927BB" w:rsidRPr="00795961">
              <w:rPr>
                <w:b/>
                <w:bCs/>
                <w:sz w:val="28"/>
                <w:szCs w:val="28"/>
              </w:rPr>
              <w:t xml:space="preserve"> </w:t>
            </w:r>
            <w:r w:rsidRPr="00795961">
              <w:rPr>
                <w:b/>
                <w:bCs/>
                <w:sz w:val="28"/>
                <w:szCs w:val="28"/>
              </w:rPr>
              <w:t>of Anti-Camping Law</w:t>
            </w:r>
            <w:r w:rsidRPr="00795961">
              <w:rPr>
                <w:b/>
                <w:bCs/>
                <w:sz w:val="28"/>
                <w:szCs w:val="28"/>
              </w:rPr>
              <w:br/>
            </w:r>
            <w:r w:rsidRPr="00CA47F0">
              <w:rPr>
                <w:i/>
                <w:iCs/>
                <w:sz w:val="28"/>
                <w:szCs w:val="28"/>
              </w:rPr>
              <w:t>Boyd v. San Rafael</w:t>
            </w:r>
          </w:p>
          <w:p w14:paraId="45BAD45B" w14:textId="3C8E4E8C" w:rsidR="00795961" w:rsidRPr="0054712A" w:rsidRDefault="00795961" w:rsidP="00004ED4">
            <w:pPr>
              <w:spacing w:line="276" w:lineRule="auto"/>
              <w:rPr>
                <w:sz w:val="24"/>
                <w:szCs w:val="24"/>
              </w:rPr>
            </w:pPr>
            <w:r w:rsidRPr="0054712A">
              <w:rPr>
                <w:sz w:val="24"/>
                <w:szCs w:val="24"/>
              </w:rPr>
              <w:t xml:space="preserve">In </w:t>
            </w:r>
            <w:r w:rsidRPr="0054712A">
              <w:rPr>
                <w:i/>
                <w:iCs/>
                <w:sz w:val="24"/>
                <w:szCs w:val="24"/>
              </w:rPr>
              <w:t>Boyd v. City of San Rafael</w:t>
            </w:r>
            <w:r w:rsidRPr="0054712A">
              <w:rPr>
                <w:sz w:val="24"/>
                <w:szCs w:val="24"/>
              </w:rPr>
              <w:t>, the City passed an anti-camping law that, among other provisions, prohibited unhoused people from camping within 200 feet of each other and from occupying a space larger than 100 square feet.</w:t>
            </w:r>
            <w:r w:rsidRPr="0054712A">
              <w:rPr>
                <w:rStyle w:val="FootnoteReference"/>
                <w:sz w:val="24"/>
                <w:szCs w:val="24"/>
              </w:rPr>
              <w:footnoteReference w:id="82"/>
            </w:r>
            <w:r w:rsidRPr="0054712A">
              <w:rPr>
                <w:sz w:val="24"/>
                <w:szCs w:val="24"/>
              </w:rPr>
              <w:t xml:space="preserve"> The law effectively prevented unhoused people from camping near each other. Unhoused people with disabilities requested reasonable </w:t>
            </w:r>
            <w:r w:rsidR="007927BB">
              <w:rPr>
                <w:sz w:val="24"/>
                <w:szCs w:val="24"/>
              </w:rPr>
              <w:t>modification</w:t>
            </w:r>
            <w:r w:rsidR="007927BB" w:rsidRPr="0054712A">
              <w:rPr>
                <w:sz w:val="24"/>
                <w:szCs w:val="24"/>
              </w:rPr>
              <w:t xml:space="preserve"> </w:t>
            </w:r>
            <w:r w:rsidRPr="0054712A">
              <w:rPr>
                <w:sz w:val="24"/>
                <w:szCs w:val="24"/>
              </w:rPr>
              <w:t>to camp near each other.</w:t>
            </w:r>
            <w:r w:rsidRPr="0054712A">
              <w:rPr>
                <w:rStyle w:val="FootnoteReference"/>
                <w:sz w:val="24"/>
                <w:szCs w:val="24"/>
              </w:rPr>
              <w:footnoteReference w:id="83"/>
            </w:r>
            <w:r w:rsidRPr="0054712A">
              <w:rPr>
                <w:sz w:val="24"/>
                <w:szCs w:val="24"/>
              </w:rPr>
              <w:t xml:space="preserve"> One individual had PTSD and could not sleep unless she was near others.</w:t>
            </w:r>
            <w:r w:rsidRPr="0054712A">
              <w:rPr>
                <w:rStyle w:val="FootnoteReference"/>
                <w:sz w:val="24"/>
                <w:szCs w:val="24"/>
              </w:rPr>
              <w:footnoteReference w:id="84"/>
            </w:r>
            <w:r w:rsidRPr="0054712A">
              <w:rPr>
                <w:sz w:val="24"/>
                <w:szCs w:val="24"/>
              </w:rPr>
              <w:t xml:space="preserve"> Another unhoused person had a physical disability and needed caretakers to get food and necessities.</w:t>
            </w:r>
            <w:r w:rsidRPr="0054712A">
              <w:rPr>
                <w:rStyle w:val="FootnoteReference"/>
                <w:sz w:val="24"/>
                <w:szCs w:val="24"/>
              </w:rPr>
              <w:footnoteReference w:id="85"/>
            </w:r>
            <w:r w:rsidRPr="0054712A">
              <w:rPr>
                <w:sz w:val="24"/>
                <w:szCs w:val="24"/>
              </w:rPr>
              <w:t xml:space="preserve"> The unhoused people filed a lawsuit against San Rafael, claiming discrimination under the ADA, and filed a preliminary injunction. </w:t>
            </w:r>
          </w:p>
          <w:p w14:paraId="0B136F8F" w14:textId="09419843" w:rsidR="00795961" w:rsidRDefault="00795961" w:rsidP="00004ED4">
            <w:pPr>
              <w:spacing w:line="276" w:lineRule="auto"/>
            </w:pPr>
            <w:r w:rsidRPr="0054712A">
              <w:rPr>
                <w:sz w:val="24"/>
                <w:szCs w:val="24"/>
              </w:rPr>
              <w:t>The court granted the preliminary injunction and held that increasing the camping space to 400 square feet to enable four people to camp together was not a fundamental alteration, and it still maintained the City’s purpose of breaking up large and highly concentrated encampments.</w:t>
            </w:r>
            <w:r w:rsidRPr="0054712A">
              <w:rPr>
                <w:rStyle w:val="FootnoteReference"/>
                <w:sz w:val="24"/>
                <w:szCs w:val="24"/>
              </w:rPr>
              <w:footnoteReference w:id="86"/>
            </w:r>
            <w:r w:rsidRPr="0054712A">
              <w:rPr>
                <w:sz w:val="24"/>
                <w:szCs w:val="24"/>
              </w:rPr>
              <w:t xml:space="preserve"> The court further held that the ordinance had no “real procedures to determine who needs to be accommodated and how their need to be free from serious danger can be met. The Ordinance ignores the realities facing each individual and instead imposes a blanket restriction on density which effectively isolates unhoused campers regardless of their needs.”</w:t>
            </w:r>
            <w:r w:rsidRPr="0054712A">
              <w:rPr>
                <w:rStyle w:val="FootnoteReference"/>
                <w:sz w:val="24"/>
                <w:szCs w:val="24"/>
              </w:rPr>
              <w:footnoteReference w:id="87"/>
            </w:r>
          </w:p>
        </w:tc>
      </w:tr>
    </w:tbl>
    <w:p w14:paraId="120D58A7" w14:textId="1BBCBC38" w:rsidR="00EC217C" w:rsidRPr="00D04E7B" w:rsidRDefault="00333780" w:rsidP="003A65FD">
      <w:pPr>
        <w:pStyle w:val="Heading2"/>
        <w:spacing w:before="240"/>
      </w:pPr>
      <w:bookmarkStart w:id="57" w:name="_Toc185261687"/>
      <w:bookmarkStart w:id="58" w:name="_Toc185507594"/>
      <w:bookmarkStart w:id="59" w:name="_Toc187054526"/>
      <w:bookmarkStart w:id="60" w:name="_Toc187056512"/>
      <w:r w:rsidRPr="00D04E7B">
        <w:t>Reasonable Modifications of Encampment Clearings</w:t>
      </w:r>
      <w:bookmarkEnd w:id="57"/>
      <w:bookmarkEnd w:id="58"/>
      <w:bookmarkEnd w:id="59"/>
      <w:bookmarkEnd w:id="60"/>
    </w:p>
    <w:p w14:paraId="4358BEA2" w14:textId="1E354F7C" w:rsidR="00EC217C" w:rsidRDefault="00D20283" w:rsidP="006E236A">
      <w:r w:rsidRPr="00D04E7B">
        <w:t>To enforce anti-</w:t>
      </w:r>
      <w:r w:rsidR="002D08EA" w:rsidRPr="00D04E7B">
        <w:t>camping</w:t>
      </w:r>
      <w:r w:rsidRPr="00D04E7B">
        <w:t xml:space="preserve"> laws</w:t>
      </w:r>
      <w:r w:rsidR="00112B15" w:rsidRPr="00D04E7B">
        <w:t>, cities</w:t>
      </w:r>
      <w:r w:rsidR="00AF6496">
        <w:t>,</w:t>
      </w:r>
      <w:r w:rsidR="00112B15" w:rsidRPr="00D04E7B">
        <w:t xml:space="preserve"> and </w:t>
      </w:r>
      <w:r w:rsidR="007337C7" w:rsidRPr="00D04E7B">
        <w:t>law</w:t>
      </w:r>
      <w:r w:rsidR="00112B15" w:rsidRPr="00D04E7B">
        <w:t xml:space="preserve"> enforcement </w:t>
      </w:r>
      <w:r w:rsidR="00924FF7" w:rsidRPr="00D04E7B">
        <w:t xml:space="preserve">typically </w:t>
      </w:r>
      <w:r w:rsidR="00D96DCC" w:rsidRPr="00D04E7B">
        <w:t>sweep</w:t>
      </w:r>
      <w:r w:rsidR="007337C7" w:rsidRPr="00D04E7B">
        <w:t xml:space="preserve"> large encampments</w:t>
      </w:r>
      <w:r w:rsidR="00924FF7" w:rsidRPr="00D04E7B">
        <w:t xml:space="preserve">. This </w:t>
      </w:r>
      <w:r w:rsidR="007337C7" w:rsidRPr="00D04E7B">
        <w:t xml:space="preserve">process </w:t>
      </w:r>
      <w:r w:rsidR="00924FF7" w:rsidRPr="00D04E7B">
        <w:t xml:space="preserve">can have </w:t>
      </w:r>
      <w:r w:rsidR="00D96DCC" w:rsidRPr="00D04E7B">
        <w:t>a</w:t>
      </w:r>
      <w:r w:rsidR="007337C7" w:rsidRPr="00D04E7B">
        <w:t xml:space="preserve"> disproportionate burden on people with disabilities.</w:t>
      </w:r>
      <w:r w:rsidR="00812F38" w:rsidRPr="00D04E7B">
        <w:t xml:space="preserve"> </w:t>
      </w:r>
      <w:r w:rsidR="00EC217C" w:rsidRPr="00D04E7B">
        <w:t xml:space="preserve">Title II </w:t>
      </w:r>
      <w:r w:rsidR="00AC6806" w:rsidRPr="00D04E7B">
        <w:t>applies to everything local government does, including encampment</w:t>
      </w:r>
      <w:r w:rsidR="00EC217C" w:rsidRPr="00D04E7B">
        <w:t xml:space="preserve"> </w:t>
      </w:r>
      <w:r w:rsidR="00AC6806" w:rsidRPr="00D04E7B">
        <w:t>sweeps.</w:t>
      </w:r>
      <w:r w:rsidR="00EC217C" w:rsidRPr="00D04E7B">
        <w:rPr>
          <w:rStyle w:val="FootnoteReference"/>
        </w:rPr>
        <w:footnoteReference w:id="88"/>
      </w:r>
      <w:r w:rsidR="00AC6806" w:rsidRPr="00D04E7B">
        <w:t xml:space="preserve"> According to the</w:t>
      </w:r>
      <w:r w:rsidR="00EC217C" w:rsidRPr="00D04E7B">
        <w:t xml:space="preserve"> Department </w:t>
      </w:r>
      <w:r w:rsidR="00EC217C" w:rsidRPr="00D04E7B">
        <w:lastRenderedPageBreak/>
        <w:t xml:space="preserve">of Justice's commentary on the ADA "the general regulatory obligation to modify policies, practices, or procedures </w:t>
      </w:r>
      <w:r w:rsidR="00EC217C" w:rsidRPr="00D04E7B">
        <w:rPr>
          <w:i/>
          <w:iCs/>
        </w:rPr>
        <w:t>requires law enforcement</w:t>
      </w:r>
      <w:r w:rsidR="00EC217C" w:rsidRPr="00D04E7B">
        <w:t xml:space="preserve"> to make changes in policies that result in discriminatory arrests or abuse of individuals with disabilities."</w:t>
      </w:r>
      <w:r w:rsidR="00AC6806" w:rsidRPr="00D04E7B">
        <w:t>(emphasis added)</w:t>
      </w:r>
      <w:r w:rsidR="00EC217C" w:rsidRPr="00D04E7B">
        <w:rPr>
          <w:rStyle w:val="FootnoteReference"/>
        </w:rPr>
        <w:footnoteReference w:id="89"/>
      </w:r>
      <w:r w:rsidR="00AC6806" w:rsidRPr="00D04E7B">
        <w:t xml:space="preserve"> </w:t>
      </w:r>
      <w:r w:rsidR="004D5D60" w:rsidRPr="00D04E7B">
        <w:t>P</w:t>
      </w:r>
      <w:r w:rsidR="005D3E46" w:rsidRPr="00D04E7B">
        <w:t>olice departments and other agencies are required to provide reasonable modifications to unhoused people with disabilities, such as more time to move from an encampment, assistance with moving items, or preserving disability-related items such as medical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903"/>
      </w:tblGrid>
      <w:tr w:rsidR="00B66717" w14:paraId="0254809F" w14:textId="77777777" w:rsidTr="00877EBF">
        <w:trPr>
          <w:trHeight w:val="954"/>
        </w:trPr>
        <w:tc>
          <w:tcPr>
            <w:tcW w:w="9903" w:type="dxa"/>
            <w:shd w:val="clear" w:color="auto" w:fill="F2F2F2" w:themeFill="background1" w:themeFillShade="F2"/>
          </w:tcPr>
          <w:p w14:paraId="454EFD34" w14:textId="3A6835DD" w:rsidR="00B66717" w:rsidRPr="00B66717" w:rsidRDefault="00B66717" w:rsidP="00877EBF">
            <w:pPr>
              <w:spacing w:after="0"/>
              <w:rPr>
                <w:i/>
                <w:iCs/>
                <w:sz w:val="24"/>
                <w:szCs w:val="24"/>
              </w:rPr>
            </w:pPr>
            <w:r w:rsidRPr="00B66717">
              <w:rPr>
                <w:b/>
                <w:bCs/>
                <w:sz w:val="24"/>
                <w:szCs w:val="24"/>
              </w:rPr>
              <w:t xml:space="preserve">Practice Tip: </w:t>
            </w:r>
            <w:r w:rsidRPr="00B66717">
              <w:rPr>
                <w:sz w:val="24"/>
                <w:szCs w:val="24"/>
              </w:rPr>
              <w:t xml:space="preserve">When bringing a cause of action for failure to make a reasonable </w:t>
            </w:r>
            <w:r w:rsidR="007927BB">
              <w:rPr>
                <w:sz w:val="24"/>
                <w:szCs w:val="24"/>
              </w:rPr>
              <w:t>modification</w:t>
            </w:r>
            <w:r w:rsidRPr="00B66717">
              <w:rPr>
                <w:sz w:val="24"/>
                <w:szCs w:val="24"/>
              </w:rPr>
              <w:t>, you do not need to allege either disparate treatment or disparate impact.</w:t>
            </w:r>
            <w:r w:rsidRPr="00B66717">
              <w:rPr>
                <w:rStyle w:val="FootnoteReference"/>
                <w:sz w:val="24"/>
                <w:szCs w:val="24"/>
              </w:rPr>
              <w:footnoteReference w:id="90"/>
            </w:r>
            <w:r w:rsidRPr="00B66717">
              <w:rPr>
                <w:sz w:val="24"/>
                <w:szCs w:val="24"/>
              </w:rPr>
              <w:t> </w:t>
            </w:r>
          </w:p>
        </w:tc>
      </w:tr>
    </w:tbl>
    <w:p w14:paraId="3E9634B4" w14:textId="7AD4AA1D" w:rsidR="00EC217C" w:rsidRPr="00D04E7B" w:rsidRDefault="0005038F" w:rsidP="00877EBF">
      <w:pPr>
        <w:spacing w:before="360"/>
      </w:pPr>
      <w:r w:rsidRPr="00D04E7B">
        <w:t>I</w:t>
      </w:r>
      <w:r w:rsidR="00EC217C" w:rsidRPr="00D04E7B">
        <w:t xml:space="preserve">n </w:t>
      </w:r>
      <w:r w:rsidR="00EC217C" w:rsidRPr="00D04E7B">
        <w:rPr>
          <w:i/>
          <w:iCs/>
        </w:rPr>
        <w:t>Cooley v. the City of Los Angeles,</w:t>
      </w:r>
      <w:r w:rsidR="00EC217C" w:rsidRPr="00D04E7B">
        <w:t xml:space="preserve"> the plaintiff had a physical disability and requested a reasonable modification for assistance to remove her belongings before an encampment sweep.</w:t>
      </w:r>
      <w:r w:rsidR="00EC217C" w:rsidRPr="00D04E7B">
        <w:rPr>
          <w:rStyle w:val="FootnoteReference"/>
        </w:rPr>
        <w:footnoteReference w:id="91"/>
      </w:r>
      <w:r w:rsidR="00EC217C" w:rsidRPr="00D04E7B">
        <w:t xml:space="preserve"> The court held that facially neutral encampment clearing policies may violate the ADA if they are unduly burdensome for people with disabilities</w:t>
      </w:r>
      <w:r w:rsidR="00772A3B" w:rsidRPr="00D04E7B">
        <w:t>.</w:t>
      </w:r>
      <w:r w:rsidR="00EC217C" w:rsidRPr="00D04E7B">
        <w:t xml:space="preserve"> </w:t>
      </w:r>
      <w:r w:rsidR="00181C71" w:rsidRPr="00D04E7B">
        <w:t xml:space="preserve">The court </w:t>
      </w:r>
      <w:r w:rsidR="00C662B3" w:rsidRPr="00D04E7B">
        <w:t>also found the plaintiff adequately stated a claim under Title II because</w:t>
      </w:r>
      <w:r w:rsidR="004B2E00" w:rsidRPr="00D04E7B">
        <w:t xml:space="preserve"> the </w:t>
      </w:r>
      <w:r w:rsidR="008A1EBE">
        <w:t>city</w:t>
      </w:r>
      <w:r w:rsidR="00EC217C" w:rsidRPr="00D04E7B">
        <w:t xml:space="preserve"> “failed to reasonably accommodate her disability by not allowing her an opportunity to comply with the City’s requirements during the area cleaning in a manner consistent with her disabilities”.</w:t>
      </w:r>
      <w:r w:rsidR="00EC217C" w:rsidRPr="00D04E7B">
        <w:rPr>
          <w:rStyle w:val="FootnoteReference"/>
        </w:rPr>
        <w:footnoteReference w:id="92"/>
      </w:r>
      <w:r w:rsidR="00EC217C" w:rsidRPr="00D04E7B">
        <w:t xml:space="preserve"> </w:t>
      </w:r>
    </w:p>
    <w:p w14:paraId="22875E70" w14:textId="7BCDC79F" w:rsidR="00451884" w:rsidRPr="00D04E7B" w:rsidRDefault="00D214F8" w:rsidP="006E236A">
      <w:r w:rsidRPr="00D04E7B">
        <w:t xml:space="preserve">When </w:t>
      </w:r>
      <w:r w:rsidR="00B72533" w:rsidRPr="00D04E7B">
        <w:t xml:space="preserve">bringing a claim for an unlawfully </w:t>
      </w:r>
      <w:r w:rsidR="002E7AE9" w:rsidRPr="00D04E7B">
        <w:t>denied</w:t>
      </w:r>
      <w:r w:rsidR="00B72533" w:rsidRPr="00D04E7B">
        <w:t xml:space="preserve"> </w:t>
      </w:r>
      <w:r w:rsidR="00AC138F" w:rsidRPr="00D04E7B">
        <w:t>reasonable modification, provide a clear and concrete description of the benefit denied and ensure the requested modification fits within the benefit</w:t>
      </w:r>
      <w:r w:rsidR="00A6054B" w:rsidRPr="00D04E7B">
        <w:t xml:space="preserve">. </w:t>
      </w:r>
      <w:r w:rsidR="00451884" w:rsidRPr="00D04E7B">
        <w:t xml:space="preserve">For example, in </w:t>
      </w:r>
      <w:r w:rsidR="00451884" w:rsidRPr="00D04E7B">
        <w:rPr>
          <w:i/>
          <w:iCs/>
        </w:rPr>
        <w:t>Prado v. City of Berkeley</w:t>
      </w:r>
      <w:r w:rsidR="00451884" w:rsidRPr="00D04E7B">
        <w:t>, plaintiffs identified, “</w:t>
      </w:r>
      <w:r w:rsidR="00804B0E" w:rsidRPr="00D04E7B">
        <w:t xml:space="preserve">outreach and housing navigation services” as the government benefit and requested the assistance of </w:t>
      </w:r>
      <w:r w:rsidR="00451884" w:rsidRPr="00D04E7B">
        <w:t>mental health professionals as a reasonable modification.</w:t>
      </w:r>
      <w:r w:rsidR="00451884" w:rsidRPr="00D04E7B">
        <w:rPr>
          <w:rStyle w:val="FootnoteReference"/>
        </w:rPr>
        <w:footnoteReference w:id="93"/>
      </w:r>
      <w:r w:rsidR="00451884" w:rsidRPr="00D04E7B">
        <w:t xml:space="preserve"> </w:t>
      </w:r>
      <w:r w:rsidR="005F06E2" w:rsidRPr="00D04E7B">
        <w:t>T</w:t>
      </w:r>
      <w:r w:rsidR="00451884" w:rsidRPr="00D04E7B">
        <w:t xml:space="preserve">he court noted that the </w:t>
      </w:r>
      <w:r w:rsidR="00795961">
        <w:t>C</w:t>
      </w:r>
      <w:r w:rsidR="00451884" w:rsidRPr="00D04E7B">
        <w:t xml:space="preserve">ity had a </w:t>
      </w:r>
      <w:r w:rsidR="00F91174">
        <w:t>an unhoused</w:t>
      </w:r>
      <w:r w:rsidR="00451884" w:rsidRPr="00D04E7B">
        <w:t xml:space="preserve"> outreach program that provided services to unhoused people</w:t>
      </w:r>
      <w:r w:rsidR="00D87186" w:rsidRPr="00D04E7B">
        <w:t xml:space="preserve"> and the reasonable modification </w:t>
      </w:r>
      <w:r w:rsidR="00D87186" w:rsidRPr="00D04E7B">
        <w:lastRenderedPageBreak/>
        <w:t>request fit within this program</w:t>
      </w:r>
      <w:r w:rsidR="00451884" w:rsidRPr="00D04E7B">
        <w:t>.</w:t>
      </w:r>
      <w:r w:rsidR="00451884" w:rsidRPr="00D04E7B">
        <w:rPr>
          <w:rStyle w:val="FootnoteReference"/>
        </w:rPr>
        <w:footnoteReference w:id="94"/>
      </w:r>
      <w:r w:rsidR="00451884" w:rsidRPr="00D04E7B">
        <w:t xml:space="preserve"> </w:t>
      </w:r>
      <w:r w:rsidR="00A0778F" w:rsidRPr="00D04E7B">
        <w:t xml:space="preserve">The plaintiffs in this case identified a concrete service and the requested reasonable </w:t>
      </w:r>
      <w:r w:rsidR="00C818BF" w:rsidRPr="00D04E7B">
        <w:t>modification</w:t>
      </w:r>
      <w:r w:rsidR="00A0778F" w:rsidRPr="00D04E7B">
        <w:t xml:space="preserve"> fit with</w:t>
      </w:r>
      <w:r w:rsidR="003D1871" w:rsidRPr="00D04E7B">
        <w:t>in it.</w:t>
      </w:r>
      <w:r w:rsidR="00451884" w:rsidRPr="00D04E7B">
        <w:t xml:space="preserve"> The court noted that a similar request may not be a reasonable modification where the scope of an encampment clearing program is narrower.</w:t>
      </w:r>
      <w:r w:rsidR="00451884" w:rsidRPr="00D04E7B">
        <w:rPr>
          <w:rStyle w:val="FootnoteReference"/>
        </w:rPr>
        <w:footnoteReference w:id="95"/>
      </w:r>
    </w:p>
    <w:p w14:paraId="6EB8C370" w14:textId="57AAF20B" w:rsidR="000B7BBA" w:rsidRPr="00D04E7B" w:rsidRDefault="003D1871" w:rsidP="006E236A">
      <w:r w:rsidRPr="00D04E7B">
        <w:t>By contrast, in</w:t>
      </w:r>
      <w:r w:rsidR="002D75E5" w:rsidRPr="00D04E7B">
        <w:t xml:space="preserve"> </w:t>
      </w:r>
      <w:r w:rsidR="002D75E5" w:rsidRPr="00D04E7B">
        <w:rPr>
          <w:i/>
          <w:iCs/>
        </w:rPr>
        <w:t>Glover City of Laguna Beach</w:t>
      </w:r>
      <w:r w:rsidR="002D75E5" w:rsidRPr="00D04E7B">
        <w:t>, the court rejected permanent supportive housing as</w:t>
      </w:r>
      <w:r w:rsidR="009D5A09" w:rsidRPr="00D04E7B">
        <w:t xml:space="preserve"> a</w:t>
      </w:r>
      <w:r w:rsidR="002D75E5" w:rsidRPr="00D04E7B">
        <w:t xml:space="preserve"> reasonable </w:t>
      </w:r>
      <w:r w:rsidR="00E7267A" w:rsidRPr="00D04E7B">
        <w:t>modification</w:t>
      </w:r>
      <w:r w:rsidR="002D75E5" w:rsidRPr="00D04E7B">
        <w:t>, finding it was a fundamental alteration.</w:t>
      </w:r>
      <w:r w:rsidR="002D75E5" w:rsidRPr="00D04E7B">
        <w:rPr>
          <w:rStyle w:val="FootnoteReference"/>
        </w:rPr>
        <w:footnoteReference w:id="96"/>
      </w:r>
      <w:r w:rsidR="002D75E5" w:rsidRPr="00D04E7B">
        <w:t xml:space="preserve"> In this case, the local shelter was inaccessible to people with disabilities.</w:t>
      </w:r>
      <w:r w:rsidR="002D75E5" w:rsidRPr="00D04E7B">
        <w:rPr>
          <w:rStyle w:val="FootnoteReference"/>
        </w:rPr>
        <w:footnoteReference w:id="97"/>
      </w:r>
      <w:r w:rsidR="002D75E5" w:rsidRPr="00D04E7B">
        <w:t xml:space="preserve"> Plaintiffs identified “the provision of a safe, legal place to sleep” as the government benefit denied to them and requested permanent supportive housing as a reasonable </w:t>
      </w:r>
      <w:r w:rsidR="00F91174">
        <w:t>modification</w:t>
      </w:r>
      <w:r w:rsidR="002D75E5" w:rsidRPr="00D04E7B">
        <w:t>.</w:t>
      </w:r>
      <w:r w:rsidR="002D75E5" w:rsidRPr="00D04E7B">
        <w:rPr>
          <w:rStyle w:val="FootnoteReference"/>
        </w:rPr>
        <w:footnoteReference w:id="98"/>
      </w:r>
      <w:r w:rsidR="002D75E5" w:rsidRPr="00D04E7B">
        <w:t xml:space="preserve"> </w:t>
      </w:r>
      <w:r w:rsidR="007041D9" w:rsidRPr="00D04E7B">
        <w:t>The court rejected plaintiffs’ argument, holding, “[p]</w:t>
      </w:r>
      <w:proofErr w:type="spellStart"/>
      <w:r w:rsidR="007041D9" w:rsidRPr="00D04E7B">
        <w:t>laintiffs</w:t>
      </w:r>
      <w:proofErr w:type="spellEnd"/>
      <w:r w:rsidR="007041D9" w:rsidRPr="00D04E7B">
        <w:t>' lengthy list of grievances with the City's homelessness program, however well-founded, reaffirm that Plaintiffs are not likely focusing their ADA claim on any particular service provided by the City, but instead on the amorphous aim of "the provision of a safe, legal place to sleep."</w:t>
      </w:r>
      <w:r w:rsidR="007041D9" w:rsidRPr="00D04E7B">
        <w:rPr>
          <w:rStyle w:val="FootnoteReference"/>
        </w:rPr>
        <w:footnoteReference w:id="99"/>
      </w:r>
      <w:r w:rsidR="007041D9" w:rsidRPr="00D04E7B">
        <w:t xml:space="preserve"> </w:t>
      </w:r>
      <w:r w:rsidR="00B13F35" w:rsidRPr="00D04E7B">
        <w:t xml:space="preserve">The court further held that </w:t>
      </w:r>
      <w:r w:rsidR="00C91E8A" w:rsidRPr="00D04E7B">
        <w:t>permanent</w:t>
      </w:r>
      <w:r w:rsidR="00D10870" w:rsidRPr="00D04E7B">
        <w:t xml:space="preserve"> supportive housing</w:t>
      </w:r>
      <w:r w:rsidR="00E53516" w:rsidRPr="00D04E7B">
        <w:t xml:space="preserve"> was not a </w:t>
      </w:r>
      <w:r w:rsidR="00951F2B" w:rsidRPr="00D04E7B">
        <w:t>reasonable modification</w:t>
      </w:r>
      <w:r w:rsidR="00B13F35" w:rsidRPr="00D04E7B">
        <w:t xml:space="preserve">, but a fundamental alteration of the </w:t>
      </w:r>
      <w:r w:rsidR="00795961">
        <w:t>C</w:t>
      </w:r>
      <w:r w:rsidR="00B13F35" w:rsidRPr="00D04E7B">
        <w:t>ity’s services</w:t>
      </w:r>
      <w:r w:rsidR="002D75E5" w:rsidRPr="00D04E7B">
        <w:t>.</w:t>
      </w:r>
      <w:r w:rsidR="002D75E5" w:rsidRPr="00D04E7B">
        <w:rPr>
          <w:rStyle w:val="FootnoteReference"/>
        </w:rPr>
        <w:footnoteReference w:id="100"/>
      </w:r>
      <w:r w:rsidR="002D75E5" w:rsidRPr="00D04E7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17"/>
      </w:tblGrid>
      <w:tr w:rsidR="00B66717" w14:paraId="6FE0F68D" w14:textId="77777777" w:rsidTr="00CA47F0">
        <w:trPr>
          <w:trHeight w:val="1452"/>
        </w:trPr>
        <w:tc>
          <w:tcPr>
            <w:tcW w:w="9817" w:type="dxa"/>
            <w:shd w:val="clear" w:color="auto" w:fill="F2F2F2" w:themeFill="background1" w:themeFillShade="F2"/>
          </w:tcPr>
          <w:p w14:paraId="62263C37" w14:textId="688EE2E4" w:rsidR="00B66717" w:rsidRPr="00B66717" w:rsidRDefault="00B66717" w:rsidP="005C329E">
            <w:pPr>
              <w:spacing w:after="0"/>
            </w:pPr>
            <w:r w:rsidRPr="00B66717">
              <w:rPr>
                <w:b/>
                <w:bCs/>
                <w:sz w:val="24"/>
                <w:szCs w:val="24"/>
              </w:rPr>
              <w:t xml:space="preserve">Practice Tip: </w:t>
            </w:r>
            <w:r w:rsidRPr="00B66717">
              <w:rPr>
                <w:sz w:val="24"/>
                <w:szCs w:val="24"/>
              </w:rPr>
              <w:t>A successful preliminary injunction should be accompanied by pleadings that are specific enough to be actionable under the ADA. The requested injunction must remedy the ADA claim.</w:t>
            </w:r>
            <w:r w:rsidRPr="00B66717">
              <w:rPr>
                <w:rStyle w:val="FootnoteReference"/>
                <w:sz w:val="24"/>
                <w:szCs w:val="24"/>
              </w:rPr>
              <w:t xml:space="preserve"> </w:t>
            </w:r>
            <w:r w:rsidRPr="00B66717">
              <w:rPr>
                <w:rStyle w:val="FootnoteReference"/>
                <w:sz w:val="24"/>
                <w:szCs w:val="24"/>
              </w:rPr>
              <w:footnoteReference w:id="101"/>
            </w:r>
          </w:p>
        </w:tc>
      </w:tr>
    </w:tbl>
    <w:p w14:paraId="60ADF764" w14:textId="77777777" w:rsidR="00590AD3" w:rsidRPr="000C541E" w:rsidRDefault="00590AD3" w:rsidP="00B0405B">
      <w:pPr>
        <w:pStyle w:val="Heading2"/>
      </w:pPr>
      <w:bookmarkStart w:id="61" w:name="_Toc185261688"/>
      <w:bookmarkStart w:id="62" w:name="_Toc185507595"/>
      <w:bookmarkStart w:id="63" w:name="_Toc187054527"/>
      <w:bookmarkStart w:id="64" w:name="_Toc187056513"/>
      <w:r w:rsidRPr="000C541E">
        <w:lastRenderedPageBreak/>
        <w:t>Damages</w:t>
      </w:r>
      <w:bookmarkEnd w:id="61"/>
      <w:bookmarkEnd w:id="62"/>
      <w:bookmarkEnd w:id="63"/>
      <w:bookmarkEnd w:id="64"/>
    </w:p>
    <w:p w14:paraId="0CF8A0FB" w14:textId="552E5B2D" w:rsidR="00590AD3" w:rsidRPr="00D04E7B" w:rsidRDefault="00590AD3" w:rsidP="006E236A">
      <w:r w:rsidRPr="00D04E7B">
        <w:t xml:space="preserve">To seek damages, under Title II or Section 504, </w:t>
      </w:r>
      <w:r w:rsidR="0069301A" w:rsidRPr="00D04E7B">
        <w:t>a</w:t>
      </w:r>
      <w:r w:rsidRPr="00D04E7B">
        <w:t xml:space="preserve"> person must show that the public entity acted or failed to act, with deliberate indifference.</w:t>
      </w:r>
      <w:r w:rsidRPr="00D04E7B">
        <w:rPr>
          <w:rStyle w:val="FootnoteReference"/>
        </w:rPr>
        <w:footnoteReference w:id="102"/>
      </w:r>
      <w:r w:rsidRPr="00D04E7B">
        <w:t xml:space="preserve"> Deliberate indifference has a two</w:t>
      </w:r>
      <w:r w:rsidR="00B66717">
        <w:t>-</w:t>
      </w:r>
      <w:r w:rsidRPr="00D04E7B">
        <w:t>prong test the first prong “requires…knowledge that a harm to a federally protected right is substantially likely” and the second prong requires a showing that the public entity “fail[ed] to act upon that likelihood."</w:t>
      </w:r>
      <w:r w:rsidRPr="00D04E7B">
        <w:rPr>
          <w:rStyle w:val="FootnoteReference"/>
        </w:rPr>
        <w:footnoteReference w:id="103"/>
      </w:r>
      <w:r w:rsidRPr="00D04E7B">
        <w:t xml:space="preserve"> </w:t>
      </w:r>
      <w:r w:rsidR="00905ACE" w:rsidRPr="00D04E7B">
        <w:t xml:space="preserve">Deliberate indifference </w:t>
      </w:r>
      <w:r w:rsidR="00090A23" w:rsidRPr="00D04E7B">
        <w:t>may be show</w:t>
      </w:r>
      <w:r w:rsidR="00FB0EF1" w:rsidRPr="00D04E7B">
        <w:t>n</w:t>
      </w:r>
      <w:r w:rsidR="00090A23" w:rsidRPr="00D04E7B">
        <w:t xml:space="preserve"> in disparate treatment, disparate impact, or reasonable modification claim</w:t>
      </w:r>
      <w:r w:rsidR="00B66717">
        <w:t>s</w:t>
      </w:r>
      <w:r w:rsidR="00090A23" w:rsidRPr="00D04E7B">
        <w:t xml:space="preserve">. </w:t>
      </w:r>
      <w:r w:rsidRPr="00D04E7B">
        <w:t>Making a reasonable modification request may be enough to show that a public entity knew of the substantial likelihood of harm.</w:t>
      </w:r>
      <w:r w:rsidRPr="00D04E7B">
        <w:rPr>
          <w:rStyle w:val="FootnoteReference"/>
        </w:rPr>
        <w:footnoteReference w:id="104"/>
      </w:r>
      <w:r w:rsidRPr="00D04E7B">
        <w:t xml:space="preserve"> “When the plaintiff has alerted the public entity to his need for accommodation (or where the need for accommodation is obvious, or required by statute or regulation), the public entity is on notice that an accommodation is required, and the plaintiff has satisfied the first element of the deliberate indifference test.”</w:t>
      </w:r>
      <w:r w:rsidRPr="00D04E7B">
        <w:rPr>
          <w:rStyle w:val="FootnoteReference"/>
        </w:rPr>
        <w:footnoteReference w:id="105"/>
      </w:r>
      <w:r w:rsidRPr="00D04E7B">
        <w:t xml:space="preserve"> </w:t>
      </w:r>
    </w:p>
    <w:p w14:paraId="39447502" w14:textId="77777777" w:rsidR="00590AD3" w:rsidRPr="00D04E7B" w:rsidRDefault="00590AD3" w:rsidP="006E236A">
      <w:r w:rsidRPr="00D04E7B">
        <w:t>To satisfy the second prong of the deliberate indifference test, the failure to act must be deliberate, rather than negligent.</w:t>
      </w:r>
      <w:r w:rsidRPr="00D04E7B">
        <w:rPr>
          <w:rStyle w:val="FootnoteReference"/>
        </w:rPr>
        <w:footnoteReference w:id="106"/>
      </w:r>
      <w:r w:rsidRPr="00D04E7B">
        <w:t xml:space="preserve"> “[D]</w:t>
      </w:r>
      <w:proofErr w:type="spellStart"/>
      <w:r w:rsidRPr="00D04E7B">
        <w:t>eliberate</w:t>
      </w:r>
      <w:proofErr w:type="spellEnd"/>
      <w:r w:rsidRPr="00D04E7B">
        <w:t xml:space="preserve"> indifference does not occur where a duty to act may simply have been overlooked, or a complaint may reasonably have been deemed to result from events taking their normal course.”</w:t>
      </w:r>
      <w:r w:rsidRPr="00D04E7B">
        <w:rPr>
          <w:rStyle w:val="FootnoteReference"/>
        </w:rPr>
        <w:footnoteReference w:id="107"/>
      </w:r>
      <w:r w:rsidRPr="00D04E7B">
        <w:t xml:space="preserve"> For instance, in </w:t>
      </w:r>
      <w:r w:rsidRPr="00D04E7B">
        <w:rPr>
          <w:i/>
          <w:iCs/>
        </w:rPr>
        <w:t>Updike v. Multnomah County,</w:t>
      </w:r>
      <w:r w:rsidRPr="00D04E7B">
        <w:t xml:space="preserve"> the court found the state did not act with deliberate indifference when it failed to provide an ASL interpreter for a court hearing because it was the result of “bureaucratic slippage” rather than deliberate action.</w:t>
      </w:r>
      <w:r w:rsidRPr="00D04E7B">
        <w:rPr>
          <w:rStyle w:val="FootnoteReference"/>
        </w:rPr>
        <w:footnoteReference w:id="108"/>
      </w:r>
      <w:r w:rsidRPr="00D04E7B">
        <w:t xml:space="preserve"> </w:t>
      </w:r>
    </w:p>
    <w:p w14:paraId="12498D92" w14:textId="56E04913" w:rsidR="00590AD3" w:rsidRPr="00D04E7B" w:rsidRDefault="00590AD3" w:rsidP="006E236A">
      <w:r w:rsidRPr="00D04E7B">
        <w:t xml:space="preserve">The failure to </w:t>
      </w:r>
      <w:r w:rsidR="00ED1217" w:rsidRPr="00D04E7B">
        <w:t>properly respond</w:t>
      </w:r>
      <w:r w:rsidRPr="00D04E7B">
        <w:t xml:space="preserve"> to a request for reasonable modification may be an indicator of deliberate indifference.</w:t>
      </w:r>
      <w:r w:rsidRPr="00D04E7B">
        <w:rPr>
          <w:rStyle w:val="FootnoteReference"/>
        </w:rPr>
        <w:footnoteReference w:id="109"/>
      </w:r>
      <w:r w:rsidRPr="00D04E7B">
        <w:t xml:space="preserve"> This includes failing to investigate whether a requested accommodation is necessary. In </w:t>
      </w:r>
      <w:r w:rsidRPr="00D04E7B">
        <w:rPr>
          <w:i/>
          <w:iCs/>
        </w:rPr>
        <w:t>Duvall v. County of Kitsap</w:t>
      </w:r>
      <w:r w:rsidRPr="00D04E7B">
        <w:t>, the court declined to dismiss a case where the plaintiff alleged deliberate indifference after an ADA coordinator failed to provide videotext display for a court date.</w:t>
      </w:r>
      <w:r w:rsidRPr="00D04E7B">
        <w:rPr>
          <w:rStyle w:val="FootnoteReference"/>
        </w:rPr>
        <w:footnoteReference w:id="110"/>
      </w:r>
      <w:r w:rsidRPr="00D04E7B">
        <w:t xml:space="preserve"> The court noted that the ADA coordinator did not engage in a fact-specific investigation</w:t>
      </w:r>
      <w:r w:rsidR="00F5347B" w:rsidRPr="00D04E7B">
        <w:t xml:space="preserve"> </w:t>
      </w:r>
      <w:r w:rsidRPr="00D04E7B">
        <w:t xml:space="preserve">and made no effort to determine whether videotext displays were available in the </w:t>
      </w:r>
      <w:r w:rsidRPr="00D04E7B">
        <w:lastRenderedPageBreak/>
        <w:t>court rooms or contact any court reporting firms to see if they had videotext displays.</w:t>
      </w:r>
      <w:r w:rsidRPr="00D04E7B">
        <w:rPr>
          <w:rStyle w:val="FootnoteReference"/>
        </w:rPr>
        <w:footnoteReference w:id="111"/>
      </w:r>
      <w:r w:rsidRPr="00D04E7B">
        <w:t xml:space="preserve"> Instead, the ADA coordinator merely transferred the plaintiff to another court room designed for people who were hearing impaired, but which did not accommodate the plaintiff’s specific disability.</w:t>
      </w:r>
      <w:r w:rsidRPr="00D04E7B">
        <w:rPr>
          <w:rStyle w:val="FootnoteReference"/>
        </w:rPr>
        <w:footnoteReference w:id="112"/>
      </w:r>
      <w:r w:rsidRPr="00D04E7B">
        <w:t xml:space="preserve"> </w:t>
      </w:r>
    </w:p>
    <w:p w14:paraId="3E97ED22" w14:textId="00DDE8D7" w:rsidR="009D3BED" w:rsidRDefault="00590AD3" w:rsidP="006E236A">
      <w:r w:rsidRPr="00D04E7B">
        <w:t xml:space="preserve">Public entities often fail to respond to the reasonable modification requests of unhoused people with disabilities. This includes failing to do a fact-specific investigation to determine whether the request is necessary. Often the failure to respond is widespread and systemic, rather than the occasional neglect of a request. Showing a clear paper trial of reasonable modification requests and the failure to respond may show deliberate indifference </w:t>
      </w:r>
      <w:r w:rsidR="00BF765A" w:rsidRPr="00D04E7B">
        <w:t>to</w:t>
      </w:r>
      <w:r w:rsidRPr="00D04E7B">
        <w:t xml:space="preserve"> the substantial likelihood of harm to a disabled unhoused person. </w:t>
      </w:r>
      <w:r w:rsidR="00FF2E58" w:rsidRPr="00D04E7B">
        <w:t xml:space="preserve">Pursuing damages may or may not be the right strategy in a particular case. One benefit is that plaintiffs seeking damages maintain their standing even if they later become housed </w:t>
      </w:r>
      <w:proofErr w:type="gramStart"/>
      <w:r w:rsidR="00FF2E58" w:rsidRPr="00D04E7B">
        <w:t>in the course of</w:t>
      </w:r>
      <w:proofErr w:type="gramEnd"/>
      <w:r w:rsidR="00FF2E58" w:rsidRPr="00D04E7B">
        <w:t xml:space="preserve"> the case.</w:t>
      </w:r>
    </w:p>
    <w:tbl>
      <w:tblPr>
        <w:tblStyle w:val="TableGrid"/>
        <w:tblW w:w="0" w:type="auto"/>
        <w:tblLook w:val="04A0" w:firstRow="1" w:lastRow="0" w:firstColumn="1" w:lastColumn="0" w:noHBand="0" w:noVBand="1"/>
      </w:tblPr>
      <w:tblGrid>
        <w:gridCol w:w="9853"/>
      </w:tblGrid>
      <w:tr w:rsidR="00795961" w14:paraId="21504995" w14:textId="77777777" w:rsidTr="009D3BED">
        <w:trPr>
          <w:trHeight w:val="4488"/>
        </w:trPr>
        <w:tc>
          <w:tcPr>
            <w:tcW w:w="9853" w:type="dxa"/>
          </w:tcPr>
          <w:p w14:paraId="0C95E609" w14:textId="550A579A" w:rsidR="00795961" w:rsidRPr="00CA47F0" w:rsidRDefault="00795961" w:rsidP="00795961">
            <w:pPr>
              <w:spacing w:line="240" w:lineRule="auto"/>
              <w:jc w:val="center"/>
              <w:rPr>
                <w:sz w:val="28"/>
                <w:szCs w:val="28"/>
              </w:rPr>
            </w:pPr>
            <w:r w:rsidRPr="00795961">
              <w:rPr>
                <w:b/>
                <w:bCs/>
                <w:sz w:val="28"/>
                <w:szCs w:val="28"/>
              </w:rPr>
              <w:t>Case Highlight: Pleading Deliberate Indifference</w:t>
            </w:r>
            <w:r>
              <w:rPr>
                <w:b/>
                <w:bCs/>
                <w:sz w:val="28"/>
                <w:szCs w:val="28"/>
              </w:rPr>
              <w:br/>
            </w:r>
            <w:r w:rsidRPr="00CA47F0">
              <w:rPr>
                <w:i/>
                <w:iCs/>
                <w:sz w:val="28"/>
                <w:szCs w:val="28"/>
              </w:rPr>
              <w:t>James Tyson et al. v. City of San Bernardino</w:t>
            </w:r>
          </w:p>
          <w:p w14:paraId="3E38BA4F" w14:textId="0E829264" w:rsidR="00795961" w:rsidRDefault="00795961" w:rsidP="00004ED4">
            <w:pPr>
              <w:spacing w:line="276" w:lineRule="auto"/>
            </w:pPr>
            <w:r w:rsidRPr="0054712A">
              <w:rPr>
                <w:sz w:val="24"/>
                <w:szCs w:val="24"/>
              </w:rPr>
              <w:t xml:space="preserve">Plaintiffs in this case made three separate allegations under the ADA on behalf of unhoused people with disabilities, including intentional discrimination with deliberate indifference. In the complaint, plaintiffs alleged the first prong of the deliberate indifference test by asserting that the City of San Bernardino knew there was a substantial likelihood of harm to plaintiffs’ rights under the ADA. To show this knowledge, the complaint explains the city received the plaintiffs’ requests for reasonable </w:t>
            </w:r>
            <w:r w:rsidR="00FA1F84">
              <w:rPr>
                <w:sz w:val="24"/>
                <w:szCs w:val="24"/>
              </w:rPr>
              <w:t>modifications</w:t>
            </w:r>
            <w:r w:rsidRPr="0054712A">
              <w:rPr>
                <w:sz w:val="24"/>
                <w:szCs w:val="24"/>
              </w:rPr>
              <w:t xml:space="preserve">, they had obvious disability-related needs because they used wheelchairs, and the attorney for the plaintiffs sent a letter to the city describing the need for reasonable </w:t>
            </w:r>
            <w:r w:rsidR="00FA1F84">
              <w:rPr>
                <w:sz w:val="24"/>
                <w:szCs w:val="24"/>
              </w:rPr>
              <w:t>modification</w:t>
            </w:r>
            <w:r w:rsidRPr="0054712A">
              <w:rPr>
                <w:sz w:val="24"/>
                <w:szCs w:val="24"/>
              </w:rPr>
              <w:t xml:space="preserve"> before clearing an encampment. Plaintiffs satisfied the second prong of the test by alleging that the city failed to investigate or respond to plaintiffs’ reasonable </w:t>
            </w:r>
            <w:r w:rsidR="00FA1F84">
              <w:rPr>
                <w:sz w:val="24"/>
                <w:szCs w:val="24"/>
              </w:rPr>
              <w:t>modification</w:t>
            </w:r>
            <w:r w:rsidRPr="0054712A">
              <w:rPr>
                <w:sz w:val="24"/>
                <w:szCs w:val="24"/>
              </w:rPr>
              <w:t xml:space="preserve"> requests and did not offer to modify any encampment clearing policies. </w:t>
            </w:r>
          </w:p>
        </w:tc>
      </w:tr>
    </w:tbl>
    <w:p w14:paraId="67B10C94" w14:textId="08B0E1A6" w:rsidR="00FD02C9" w:rsidRPr="009D3BED" w:rsidRDefault="00E16C56" w:rsidP="00E95C1C">
      <w:pPr>
        <w:pStyle w:val="Heading1"/>
      </w:pPr>
      <w:bookmarkStart w:id="65" w:name="_Toc185261689"/>
      <w:bookmarkStart w:id="66" w:name="_Toc185507596"/>
      <w:bookmarkStart w:id="67" w:name="_Toc187054528"/>
      <w:bookmarkStart w:id="68" w:name="_Toc187056514"/>
      <w:r w:rsidRPr="009D3BED">
        <w:lastRenderedPageBreak/>
        <w:t xml:space="preserve">Chapter </w:t>
      </w:r>
      <w:r w:rsidR="00352B15" w:rsidRPr="009D3BED">
        <w:t>5</w:t>
      </w:r>
      <w:r w:rsidRPr="009D3BED">
        <w:t xml:space="preserve">: </w:t>
      </w:r>
      <w:r w:rsidR="00FD02C9" w:rsidRPr="009D3BED">
        <w:t xml:space="preserve">Government </w:t>
      </w:r>
      <w:r w:rsidR="00101556" w:rsidRPr="009D3BED">
        <w:t xml:space="preserve">Responses </w:t>
      </w:r>
      <w:r w:rsidR="00FD02C9" w:rsidRPr="009D3BED">
        <w:t xml:space="preserve">to </w:t>
      </w:r>
      <w:r w:rsidRPr="009D3BED">
        <w:t xml:space="preserve">Title II of the </w:t>
      </w:r>
      <w:bookmarkEnd w:id="65"/>
      <w:r w:rsidR="0054712A">
        <w:t>A</w:t>
      </w:r>
      <w:r w:rsidR="00FA1F84">
        <w:t>mericans with Disabilities Act</w:t>
      </w:r>
      <w:bookmarkEnd w:id="66"/>
      <w:bookmarkEnd w:id="67"/>
      <w:bookmarkEnd w:id="68"/>
    </w:p>
    <w:p w14:paraId="7C503903" w14:textId="3E628101" w:rsidR="004255F2" w:rsidRPr="00D04E7B" w:rsidRDefault="00364BB4" w:rsidP="006E236A">
      <w:r w:rsidRPr="00D04E7B">
        <w:t>To rebut</w:t>
      </w:r>
      <w:r w:rsidR="0054234F" w:rsidRPr="00D04E7B">
        <w:t xml:space="preserve"> claims </w:t>
      </w:r>
      <w:r w:rsidR="00DF1475" w:rsidRPr="00D04E7B">
        <w:t>that</w:t>
      </w:r>
      <w:r w:rsidR="0054234F" w:rsidRPr="00D04E7B">
        <w:t xml:space="preserve"> a reasonable modification</w:t>
      </w:r>
      <w:r w:rsidR="00052AAB" w:rsidRPr="00D04E7B">
        <w:t xml:space="preserve"> request</w:t>
      </w:r>
      <w:r w:rsidR="00DF1475" w:rsidRPr="00D04E7B">
        <w:t xml:space="preserve"> was unlawfully denied</w:t>
      </w:r>
      <w:r w:rsidR="0054234F" w:rsidRPr="00D04E7B">
        <w:t xml:space="preserve">, a public entity can claim the </w:t>
      </w:r>
      <w:r w:rsidR="00B03D82" w:rsidRPr="00D04E7B">
        <w:t>request</w:t>
      </w:r>
      <w:r w:rsidR="00AC6806" w:rsidRPr="00D04E7B">
        <w:t xml:space="preserve"> </w:t>
      </w:r>
      <w:r w:rsidR="00ED3B3D" w:rsidRPr="00D04E7B">
        <w:t xml:space="preserve">would be </w:t>
      </w:r>
      <w:r w:rsidR="00AC6806" w:rsidRPr="00D04E7B">
        <w:t>a fundamental alteration or</w:t>
      </w:r>
      <w:r w:rsidR="00EF52E5" w:rsidRPr="00D04E7B">
        <w:t xml:space="preserve"> </w:t>
      </w:r>
      <w:r w:rsidR="00DF1475" w:rsidRPr="00D04E7B">
        <w:t>an</w:t>
      </w:r>
      <w:r w:rsidR="00AC6806" w:rsidRPr="00D04E7B">
        <w:t xml:space="preserve"> undue financial or administrative </w:t>
      </w:r>
      <w:r w:rsidR="00EF52E5" w:rsidRPr="00D04E7B">
        <w:t>burden</w:t>
      </w:r>
      <w:r w:rsidR="00AC6806" w:rsidRPr="00D04E7B">
        <w:t>.</w:t>
      </w:r>
      <w:r w:rsidR="00AC6806" w:rsidRPr="00D04E7B">
        <w:rPr>
          <w:rStyle w:val="FootnoteReference"/>
        </w:rPr>
        <w:footnoteReference w:id="113"/>
      </w:r>
      <w:r w:rsidR="00AC6806" w:rsidRPr="00D04E7B">
        <w:t xml:space="preserve"> </w:t>
      </w:r>
      <w:r w:rsidR="005E4FA1" w:rsidRPr="00D04E7B">
        <w:t xml:space="preserve">The </w:t>
      </w:r>
      <w:r w:rsidR="00AA574F" w:rsidRPr="00D04E7B">
        <w:t>public entity has the burden of proof to show that granting the request would be a fundamental alteration or undue burden.</w:t>
      </w:r>
      <w:r w:rsidR="00AA574F" w:rsidRPr="00D04E7B">
        <w:rPr>
          <w:rStyle w:val="FootnoteReference"/>
        </w:rPr>
        <w:footnoteReference w:id="114"/>
      </w:r>
      <w:r w:rsidR="00FB6700" w:rsidRPr="00D04E7B">
        <w:t xml:space="preserve"> </w:t>
      </w:r>
      <w:r w:rsidR="00604B40" w:rsidRPr="00D04E7B">
        <w:t>However, e</w:t>
      </w:r>
      <w:r w:rsidR="00F50D42" w:rsidRPr="00D04E7B">
        <w:t xml:space="preserve">ven if a request is a fundamental alteration or </w:t>
      </w:r>
      <w:r w:rsidR="00202884" w:rsidRPr="00D04E7B">
        <w:t xml:space="preserve">undue </w:t>
      </w:r>
      <w:r w:rsidR="00F50D42" w:rsidRPr="00D04E7B">
        <w:t xml:space="preserve">burden, the public entity must still </w:t>
      </w:r>
      <w:r w:rsidR="000E1D73" w:rsidRPr="00D04E7B">
        <w:t>take action to enable people with disabilities to receive the benefits and services of the public entity.</w:t>
      </w:r>
      <w:r w:rsidR="000E1D73" w:rsidRPr="00D04E7B">
        <w:rPr>
          <w:rStyle w:val="FootnoteReference"/>
        </w:rPr>
        <w:footnoteReference w:id="115"/>
      </w:r>
      <w:r w:rsidR="00266617" w:rsidRPr="00D04E7B">
        <w:t xml:space="preserve"> </w:t>
      </w:r>
      <w:r w:rsidR="004255F2" w:rsidRPr="00D04E7B">
        <w:t>Each of these is described further below.</w:t>
      </w:r>
    </w:p>
    <w:p w14:paraId="26FF314E" w14:textId="7A4FEFD7" w:rsidR="00FD02C9" w:rsidRPr="000C541E" w:rsidRDefault="00FD02C9" w:rsidP="00B0405B">
      <w:pPr>
        <w:pStyle w:val="Heading2"/>
      </w:pPr>
      <w:bookmarkStart w:id="69" w:name="_Toc185261690"/>
      <w:bookmarkStart w:id="70" w:name="_Toc185507597"/>
      <w:bookmarkStart w:id="71" w:name="_Toc187054529"/>
      <w:bookmarkStart w:id="72" w:name="_Toc187056515"/>
      <w:r w:rsidRPr="000C541E">
        <w:t>Fundamental Alteration</w:t>
      </w:r>
      <w:bookmarkEnd w:id="69"/>
      <w:bookmarkEnd w:id="70"/>
      <w:bookmarkEnd w:id="71"/>
      <w:bookmarkEnd w:id="72"/>
      <w:r w:rsidRPr="000C541E">
        <w:t xml:space="preserve"> </w:t>
      </w:r>
    </w:p>
    <w:p w14:paraId="27134173" w14:textId="562C0812" w:rsidR="00FD02C9" w:rsidRPr="00D04E7B" w:rsidRDefault="00FD02C9" w:rsidP="006E236A">
      <w:r w:rsidRPr="00D04E7B">
        <w:t xml:space="preserve">A proposed reasonable </w:t>
      </w:r>
      <w:r w:rsidR="009E7C29" w:rsidRPr="00D04E7B">
        <w:t>modification</w:t>
      </w:r>
      <w:r w:rsidRPr="00D04E7B">
        <w:t xml:space="preserve"> would impose a fundamental alteration if it would fundamentally change the nature of the program.</w:t>
      </w:r>
      <w:r w:rsidRPr="00D04E7B">
        <w:rPr>
          <w:rStyle w:val="FootnoteReference"/>
        </w:rPr>
        <w:footnoteReference w:id="116"/>
      </w:r>
      <w:r w:rsidRPr="00D04E7B">
        <w:t xml:space="preserve"> Cities are not required to "make modifications that would fundamentally alter existing programs and services administered pursuant to policies that do not facially discriminate against the disabled."</w:t>
      </w:r>
      <w:r w:rsidRPr="00D04E7B">
        <w:rPr>
          <w:rStyle w:val="FootnoteReference"/>
        </w:rPr>
        <w:footnoteReference w:id="117"/>
      </w:r>
      <w:r w:rsidRPr="00D04E7B">
        <w:t xml:space="preserve"> A public entity is not required to create a new program to provide services to people with disabilities.</w:t>
      </w:r>
      <w:r w:rsidRPr="00D04E7B">
        <w:rPr>
          <w:rStyle w:val="FootnoteReference"/>
        </w:rPr>
        <w:footnoteReference w:id="118"/>
      </w:r>
      <w:r w:rsidRPr="00D04E7B">
        <w:t xml:space="preserve"> </w:t>
      </w:r>
      <w:r w:rsidR="000A4B2A" w:rsidRPr="00D04E7B">
        <w:t>The head of the public entity or their designee determines whether a request is a fundamental alteration after “considering all resources available for use in the funding and operation of the service, program, or activity and must be accompanied by a written statement of the reasons for reaching that conclusion.”</w:t>
      </w:r>
      <w:r w:rsidR="000A4B2A" w:rsidRPr="00D04E7B">
        <w:rPr>
          <w:rStyle w:val="FootnoteReference"/>
        </w:rPr>
        <w:footnoteReference w:id="119"/>
      </w:r>
    </w:p>
    <w:p w14:paraId="28C29087" w14:textId="453C4CA5" w:rsidR="00FD02C9" w:rsidRPr="00D04E7B" w:rsidRDefault="00DA5A1D" w:rsidP="006E236A">
      <w:r w:rsidRPr="00D04E7B">
        <w:t>The distinction between a reasonable modification and fundamental alteration is “fact-specific, requiring case-by-case inquiry.”</w:t>
      </w:r>
      <w:r w:rsidRPr="00D04E7B">
        <w:rPr>
          <w:rStyle w:val="FootnoteReference"/>
        </w:rPr>
        <w:footnoteReference w:id="120"/>
      </w:r>
      <w:r w:rsidR="00FD02C9" w:rsidRPr="00D04E7B">
        <w:t xml:space="preserve"> </w:t>
      </w:r>
      <w:r w:rsidRPr="00D04E7B">
        <w:t xml:space="preserve">A modification’s reasonableness depends on how it impacts the goals of an agency’s program. For programs designed to address risks to the public, for example, </w:t>
      </w:r>
      <w:r w:rsidR="00FD02C9" w:rsidRPr="00D04E7B">
        <w:t xml:space="preserve">reasonableness depends on “the nature of the risk, whether the proposed modification would affect the agency's ability to address the risk, and the probability of worsening the risk if the agency </w:t>
      </w:r>
      <w:r w:rsidR="00FD02C9" w:rsidRPr="00D04E7B">
        <w:lastRenderedPageBreak/>
        <w:t>is forced to alter its programs.”</w:t>
      </w:r>
      <w:r w:rsidR="00FD02C9" w:rsidRPr="00D04E7B">
        <w:rPr>
          <w:rStyle w:val="FootnoteReference"/>
        </w:rPr>
        <w:footnoteReference w:id="121"/>
      </w:r>
      <w:r w:rsidR="00FD02C9" w:rsidRPr="00D04E7B">
        <w:t> </w:t>
      </w:r>
      <w:r w:rsidR="004255F2" w:rsidRPr="00D04E7B">
        <w:t>Courts also “take into account financial and</w:t>
      </w:r>
      <w:r w:rsidR="00FD02C9" w:rsidRPr="00D04E7B">
        <w:t xml:space="preserve"> other logistical limitations </w:t>
      </w:r>
      <w:r w:rsidR="004255F2" w:rsidRPr="00D04E7B">
        <w:t>on [the program]</w:t>
      </w:r>
      <w:r w:rsidR="00FD02C9" w:rsidRPr="00D04E7B">
        <w:t>.</w:t>
      </w:r>
      <w:r w:rsidR="004255F2" w:rsidRPr="00D04E7B">
        <w:t>”</w:t>
      </w:r>
      <w:r w:rsidR="00FD02C9" w:rsidRPr="00D04E7B">
        <w:rPr>
          <w:rStyle w:val="FootnoteReference"/>
        </w:rPr>
        <w:footnoteReference w:id="12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936"/>
      </w:tblGrid>
      <w:tr w:rsidR="00B66717" w:rsidRPr="00B66717" w14:paraId="4FDC76D9" w14:textId="77777777" w:rsidTr="0054712A">
        <w:trPr>
          <w:trHeight w:val="1173"/>
        </w:trPr>
        <w:tc>
          <w:tcPr>
            <w:tcW w:w="10017" w:type="dxa"/>
            <w:shd w:val="clear" w:color="auto" w:fill="F2F2F2" w:themeFill="background1" w:themeFillShade="F2"/>
          </w:tcPr>
          <w:p w14:paraId="7F252A80" w14:textId="1EC2A145" w:rsidR="00B66717" w:rsidRPr="00B66717" w:rsidRDefault="00B66717" w:rsidP="005C329E">
            <w:pPr>
              <w:spacing w:after="0"/>
              <w:rPr>
                <w:b/>
                <w:bCs/>
                <w:sz w:val="24"/>
                <w:szCs w:val="24"/>
              </w:rPr>
            </w:pPr>
            <w:r w:rsidRPr="00B66717">
              <w:rPr>
                <w:b/>
                <w:bCs/>
                <w:sz w:val="24"/>
                <w:szCs w:val="24"/>
              </w:rPr>
              <w:t xml:space="preserve">Practice Tip: </w:t>
            </w:r>
            <w:r w:rsidRPr="00B66717">
              <w:rPr>
                <w:sz w:val="24"/>
                <w:szCs w:val="24"/>
              </w:rPr>
              <w:t>A well-pled complaint on reasonable modifications should survive a motion to dismiss/demurrer. Whether an accommodation is reasonable or would fundamentally alter a public entity’s program or services is fact-specific and cannot be resolved through a motion to dismiss or demurrer.</w:t>
            </w:r>
            <w:r w:rsidRPr="00B66717">
              <w:rPr>
                <w:rStyle w:val="FootnoteReference"/>
                <w:sz w:val="24"/>
                <w:szCs w:val="24"/>
              </w:rPr>
              <w:footnoteReference w:id="123"/>
            </w:r>
          </w:p>
        </w:tc>
      </w:tr>
    </w:tbl>
    <w:p w14:paraId="117BB3D4" w14:textId="436D8714" w:rsidR="005D3E46" w:rsidRPr="00D04E7B" w:rsidRDefault="00C81B27" w:rsidP="00877EBF">
      <w:pPr>
        <w:spacing w:before="360"/>
      </w:pPr>
      <w:r w:rsidRPr="00D04E7B">
        <w:t>A</w:t>
      </w:r>
      <w:r w:rsidR="00641CAE" w:rsidRPr="00D04E7B">
        <w:t xml:space="preserve"> proposed modification</w:t>
      </w:r>
      <w:r w:rsidRPr="00D04E7B">
        <w:t xml:space="preserve"> may </w:t>
      </w:r>
      <w:r w:rsidR="00641CAE" w:rsidRPr="00D04E7B">
        <w:t>be a fundamental alteration in one context and not another</w:t>
      </w:r>
      <w:r w:rsidR="0036638C" w:rsidRPr="00D04E7B">
        <w:t>.</w:t>
      </w:r>
      <w:r w:rsidR="00332AC6" w:rsidRPr="00D04E7B">
        <w:t xml:space="preserve"> </w:t>
      </w:r>
      <w:r w:rsidR="007C794D" w:rsidRPr="00D04E7B">
        <w:t xml:space="preserve">In </w:t>
      </w:r>
      <w:r w:rsidR="007C794D" w:rsidRPr="00D04E7B">
        <w:rPr>
          <w:i/>
          <w:iCs/>
        </w:rPr>
        <w:t>Where Do We Go Berkeley</w:t>
      </w:r>
      <w:r w:rsidR="00202884" w:rsidRPr="00D04E7B">
        <w:t>,</w:t>
      </w:r>
      <w:r w:rsidR="007C794D" w:rsidRPr="00D04E7B">
        <w:rPr>
          <w:i/>
          <w:iCs/>
        </w:rPr>
        <w:t xml:space="preserve"> </w:t>
      </w:r>
      <w:r w:rsidR="007C794D" w:rsidRPr="00D04E7B">
        <w:t xml:space="preserve">the </w:t>
      </w:r>
      <w:r w:rsidR="00202884" w:rsidRPr="00D04E7B">
        <w:t xml:space="preserve">Ninth </w:t>
      </w:r>
      <w:r w:rsidR="007C794D" w:rsidRPr="00D04E7B">
        <w:t>Circuit held that</w:t>
      </w:r>
      <w:r w:rsidR="006E236A">
        <w:t xml:space="preserve"> the California Department of Transportation’s (</w:t>
      </w:r>
      <w:proofErr w:type="spellStart"/>
      <w:r w:rsidR="007C794D" w:rsidRPr="00D04E7B">
        <w:t>CalTrans</w:t>
      </w:r>
      <w:proofErr w:type="spellEnd"/>
      <w:r w:rsidR="006E236A">
        <w:t>)</w:t>
      </w:r>
      <w:r w:rsidR="007C794D" w:rsidRPr="00D04E7B">
        <w:t xml:space="preserve"> duties included providing notice prior to clearing an encampment and coordination with partners and services, but </w:t>
      </w:r>
      <w:r w:rsidR="009D65F0" w:rsidRPr="00D04E7B">
        <w:t xml:space="preserve">did </w:t>
      </w:r>
      <w:r w:rsidR="007C794D" w:rsidRPr="00D04E7B">
        <w:t>not</w:t>
      </w:r>
      <w:r w:rsidR="009D65F0" w:rsidRPr="00D04E7B">
        <w:t xml:space="preserve"> include</w:t>
      </w:r>
      <w:r w:rsidR="007C794D" w:rsidRPr="00D04E7B">
        <w:t xml:space="preserve"> providing housing or social services.</w:t>
      </w:r>
      <w:r w:rsidR="007C794D" w:rsidRPr="00D04E7B">
        <w:rPr>
          <w:rStyle w:val="FootnoteReference"/>
        </w:rPr>
        <w:footnoteReference w:id="124"/>
      </w:r>
      <w:r w:rsidR="007C794D" w:rsidRPr="00D04E7B">
        <w:t xml:space="preserve"> As such, the appellate court found that the six</w:t>
      </w:r>
      <w:r w:rsidR="00926956" w:rsidRPr="00D04E7B">
        <w:t>-</w:t>
      </w:r>
      <w:r w:rsidR="007C794D" w:rsidRPr="00D04E7B">
        <w:t xml:space="preserve">month injunction ordered by the lower court </w:t>
      </w:r>
      <w:r w:rsidR="00D430D9" w:rsidRPr="00D04E7B">
        <w:t xml:space="preserve">against removing an encampment </w:t>
      </w:r>
      <w:r w:rsidR="007C794D" w:rsidRPr="00D04E7B">
        <w:t>and providing an alternate location to camp was a fundamental alteration. “Precluding Caltrans from addressing a level 1 encampment's urgent threat to public safety and infrastructure—and suggesting that the risk is mitigated because Caltrans might reopen Seabreeze for campers' use—essentially requires Caltrans ‘to create new programs that provide heretofore unprovided services.’"</w:t>
      </w:r>
      <w:r w:rsidR="007C794D" w:rsidRPr="00D04E7B">
        <w:rPr>
          <w:rStyle w:val="FootnoteReference"/>
        </w:rPr>
        <w:footnoteReference w:id="125"/>
      </w:r>
      <w:r w:rsidR="007C794D" w:rsidRPr="00D04E7B">
        <w:t xml:space="preserve"> Thus, in this case, a request for additional services was not reasonable because it was not within the scope of </w:t>
      </w:r>
      <w:proofErr w:type="spellStart"/>
      <w:r w:rsidR="007C794D" w:rsidRPr="00D04E7B">
        <w:t>CalTrans</w:t>
      </w:r>
      <w:proofErr w:type="spellEnd"/>
      <w:r w:rsidR="007C794D" w:rsidRPr="00D04E7B">
        <w:t xml:space="preserve">’ duties. </w:t>
      </w:r>
      <w:r w:rsidR="00F73DE3" w:rsidRPr="00D04E7B">
        <w:t xml:space="preserve">Contrast this </w:t>
      </w:r>
      <w:r w:rsidR="00687A2B" w:rsidRPr="00D04E7B">
        <w:t xml:space="preserve">with </w:t>
      </w:r>
      <w:r w:rsidR="00F73DE3" w:rsidRPr="00D04E7B">
        <w:rPr>
          <w:i/>
          <w:iCs/>
        </w:rPr>
        <w:t>Prado,</w:t>
      </w:r>
      <w:r w:rsidR="00F73DE3" w:rsidRPr="00D04E7B">
        <w:t xml:space="preserve"> described in Chapter 3, where the court held that adding </w:t>
      </w:r>
      <w:r w:rsidR="006F1DB0" w:rsidRPr="00D04E7B">
        <w:t xml:space="preserve">mental health </w:t>
      </w:r>
      <w:r w:rsidR="00687A2B" w:rsidRPr="00D04E7B">
        <w:t xml:space="preserve">professionals to the existing </w:t>
      </w:r>
      <w:r w:rsidR="00ED7D50" w:rsidRPr="00D04E7B">
        <w:t xml:space="preserve">outreach </w:t>
      </w:r>
      <w:r w:rsidR="00687A2B" w:rsidRPr="00D04E7B">
        <w:t>team</w:t>
      </w:r>
      <w:r w:rsidR="006F1DB0" w:rsidRPr="00D04E7B">
        <w:t xml:space="preserve"> was a reasonable </w:t>
      </w:r>
      <w:r w:rsidR="009D114A" w:rsidRPr="00D04E7B">
        <w:t>modification</w:t>
      </w:r>
      <w:r w:rsidR="006F1DB0" w:rsidRPr="00D04E7B">
        <w:t xml:space="preserve">. The court reasoned that this was not a new program but a modification of the existing </w:t>
      </w:r>
      <w:r w:rsidR="009D0A63" w:rsidRPr="00D04E7B">
        <w:t>outreach program.</w:t>
      </w:r>
      <w:r w:rsidR="00ED7D50" w:rsidRPr="00D04E7B">
        <w:rPr>
          <w:rStyle w:val="FootnoteReference"/>
        </w:rPr>
        <w:footnoteReference w:id="126"/>
      </w:r>
      <w:r w:rsidR="009D0A63" w:rsidRPr="00D04E7B">
        <w:t xml:space="preserve"> </w:t>
      </w:r>
    </w:p>
    <w:p w14:paraId="5BC74617" w14:textId="7F75A7F2" w:rsidR="00B77B54" w:rsidRPr="00D04E7B" w:rsidRDefault="00B77B54" w:rsidP="00B0405B">
      <w:pPr>
        <w:pStyle w:val="Heading2"/>
      </w:pPr>
      <w:bookmarkStart w:id="73" w:name="_Toc185261691"/>
      <w:bookmarkStart w:id="74" w:name="_Toc185507598"/>
      <w:bookmarkStart w:id="75" w:name="_Toc187054530"/>
      <w:bookmarkStart w:id="76" w:name="_Toc187056516"/>
      <w:r w:rsidRPr="00D04E7B">
        <w:t>Undue Financial or Administrative Burden</w:t>
      </w:r>
      <w:bookmarkEnd w:id="73"/>
      <w:bookmarkEnd w:id="74"/>
      <w:bookmarkEnd w:id="75"/>
      <w:bookmarkEnd w:id="76"/>
      <w:r w:rsidRPr="00D04E7B">
        <w:t xml:space="preserve"> </w:t>
      </w:r>
    </w:p>
    <w:p w14:paraId="0E75C1C5" w14:textId="62487F2C" w:rsidR="00C14EEF" w:rsidRPr="00D04E7B" w:rsidRDefault="002D4121" w:rsidP="006E236A">
      <w:r w:rsidRPr="00D04E7B">
        <w:t xml:space="preserve">A public entity may also reject a reasonable modification if it is an undue financial or administrative burden. </w:t>
      </w:r>
      <w:r w:rsidR="00086941" w:rsidRPr="00D04E7B">
        <w:t xml:space="preserve">When determining whether a request is an undue financial burden, the public entity must </w:t>
      </w:r>
      <w:r w:rsidR="003A719C" w:rsidRPr="00D04E7B">
        <w:lastRenderedPageBreak/>
        <w:t>take</w:t>
      </w:r>
      <w:r w:rsidR="00086941" w:rsidRPr="00D04E7B">
        <w:t xml:space="preserve"> into account </w:t>
      </w:r>
      <w:r w:rsidR="00C14EEF" w:rsidRPr="00D04E7B">
        <w:t xml:space="preserve">all resources available for use in the funding and operation of the service, program, or activity </w:t>
      </w:r>
      <w:r w:rsidR="00E3020A" w:rsidRPr="00D04E7B">
        <w:t>in question.</w:t>
      </w:r>
      <w:r w:rsidR="00C14EEF" w:rsidRPr="00D04E7B">
        <w:rPr>
          <w:rStyle w:val="FootnoteReference"/>
        </w:rPr>
        <w:footnoteReference w:id="127"/>
      </w:r>
      <w:r w:rsidR="00871FC0" w:rsidRPr="00D04E7B">
        <w:t xml:space="preserve"> </w:t>
      </w:r>
      <w:r w:rsidR="00264DD2" w:rsidRPr="00D04E7B">
        <w:t>A decision that a reasonable modification is a</w:t>
      </w:r>
      <w:r w:rsidRPr="00D04E7B">
        <w:t>n</w:t>
      </w:r>
      <w:r w:rsidR="00264DD2" w:rsidRPr="00D04E7B">
        <w:t xml:space="preserve"> undue burden must be made by the head of a public entity </w:t>
      </w:r>
      <w:r w:rsidRPr="00D04E7B">
        <w:t>in writing.</w:t>
      </w:r>
      <w:r w:rsidRPr="00D04E7B">
        <w:rPr>
          <w:rStyle w:val="FootnoteReference"/>
        </w:rPr>
        <w:footnoteReference w:id="128"/>
      </w:r>
      <w:r w:rsidRPr="00D04E7B">
        <w:t xml:space="preserve"> Even when a reasonable modification request is an undue burden, a public entity must “take any other action that would not result in such an alteration or such burdens but would nevertheless ensure that individuals with disabilities receive the benefits or services provided by the public entity.”</w:t>
      </w:r>
      <w:r w:rsidR="007B6D01" w:rsidRPr="00D04E7B">
        <w:rPr>
          <w:rStyle w:val="FootnoteReference"/>
        </w:rPr>
        <w:footnoteReference w:id="129"/>
      </w:r>
      <w:r w:rsidRPr="00D04E7B">
        <w:t xml:space="preserve"> </w:t>
      </w:r>
      <w:r w:rsidR="0071051D" w:rsidRPr="00D04E7B">
        <w:t>T</w:t>
      </w:r>
      <w:r w:rsidR="00871FC0" w:rsidRPr="00D04E7B">
        <w:t xml:space="preserve">he program access requirement of </w:t>
      </w:r>
      <w:r w:rsidR="0071051D" w:rsidRPr="00D04E7B">
        <w:t>Title II</w:t>
      </w:r>
      <w:r w:rsidR="00871FC0" w:rsidRPr="00D04E7B">
        <w:t xml:space="preserve"> should </w:t>
      </w:r>
      <w:r w:rsidR="0071051D" w:rsidRPr="00D04E7B">
        <w:t>allow</w:t>
      </w:r>
      <w:r w:rsidR="00871FC0" w:rsidRPr="00D04E7B">
        <w:t xml:space="preserve"> individuals with disabilities to participate in and benefit from the services, programs, or activities of public entities in </w:t>
      </w:r>
      <w:r w:rsidR="0071051D" w:rsidRPr="00D04E7B">
        <w:t>“</w:t>
      </w:r>
      <w:r w:rsidR="00871FC0" w:rsidRPr="00D04E7B">
        <w:t>all but the most unusual cases</w:t>
      </w:r>
      <w:r w:rsidR="218E03E6" w:rsidRPr="00D04E7B">
        <w:t>.</w:t>
      </w:r>
      <w:r w:rsidR="0071051D" w:rsidRPr="00D04E7B">
        <w:t>”</w:t>
      </w:r>
      <w:r w:rsidR="00871FC0" w:rsidRPr="00D04E7B">
        <w:rPr>
          <w:rStyle w:val="FootnoteReference"/>
        </w:rPr>
        <w:footnoteReference w:id="130"/>
      </w:r>
    </w:p>
    <w:p w14:paraId="6F4D3CAD" w14:textId="256FCA08" w:rsidR="00FD02C9" w:rsidRPr="00D04E7B" w:rsidRDefault="00FD02C9" w:rsidP="00B0405B">
      <w:pPr>
        <w:pStyle w:val="Heading2"/>
      </w:pPr>
      <w:bookmarkStart w:id="77" w:name="_Toc185261692"/>
      <w:bookmarkStart w:id="78" w:name="_Toc185507599"/>
      <w:bookmarkStart w:id="79" w:name="_Toc187054531"/>
      <w:bookmarkStart w:id="80" w:name="_Toc187056517"/>
      <w:r w:rsidRPr="00D04E7B">
        <w:t>Direct Threat</w:t>
      </w:r>
      <w:bookmarkEnd w:id="77"/>
      <w:bookmarkEnd w:id="78"/>
      <w:bookmarkEnd w:id="79"/>
      <w:bookmarkEnd w:id="80"/>
      <w:r w:rsidRPr="00D04E7B">
        <w:t xml:space="preserve"> </w:t>
      </w:r>
    </w:p>
    <w:p w14:paraId="0470DB59" w14:textId="60BE5A73" w:rsidR="003E0196" w:rsidRPr="00D04E7B" w:rsidRDefault="00A96194" w:rsidP="006E236A">
      <w:r w:rsidRPr="00D04E7B">
        <w:t>A public entity may assert, as an affirmative defense, that a person is a direct threat</w:t>
      </w:r>
      <w:r w:rsidR="00FA1F84">
        <w:t>, which is a “heavy burden” to prove</w:t>
      </w:r>
      <w:r w:rsidRPr="00D04E7B">
        <w:t>.</w:t>
      </w:r>
      <w:r w:rsidR="00FA1F84">
        <w:rPr>
          <w:rStyle w:val="FootnoteReference"/>
        </w:rPr>
        <w:footnoteReference w:id="131"/>
      </w:r>
      <w:r w:rsidRPr="00D04E7B">
        <w:t xml:space="preserve"> </w:t>
      </w:r>
      <w:r w:rsidR="5A3FE6F3" w:rsidRPr="00D04E7B">
        <w:t>To determine whether a person is a direct threat, a public entity must “make an individualized assessment, based on reasonable judgment that relies on current medical knowledge or on the best available objective evidence, to ascertain: the nature, duration, and severity of the risk; [and] the probability that the potential injury will actually occur…”</w:t>
      </w:r>
      <w:r w:rsidRPr="00D04E7B">
        <w:rPr>
          <w:rStyle w:val="FootnoteReference"/>
        </w:rPr>
        <w:footnoteReference w:id="132"/>
      </w:r>
      <w:r w:rsidR="00433DC2" w:rsidRPr="00D04E7B">
        <w:t xml:space="preserve"> The assessment </w:t>
      </w:r>
      <w:r w:rsidR="5A3FE6F3" w:rsidRPr="00D04E7B">
        <w:t>usually does not require a physician’s assessment but can be based on the opinion of public health authorities.</w:t>
      </w:r>
      <w:r w:rsidRPr="00D04E7B">
        <w:rPr>
          <w:rStyle w:val="FootnoteReference"/>
        </w:rPr>
        <w:footnoteReference w:id="133"/>
      </w:r>
      <w:r w:rsidR="5A3FE6F3" w:rsidRPr="00D04E7B">
        <w:rPr>
          <w:rStyle w:val="FootnoteReference"/>
        </w:rPr>
        <w:t xml:space="preserve"> </w:t>
      </w:r>
    </w:p>
    <w:p w14:paraId="3980A063" w14:textId="2C9D6CFE" w:rsidR="0054712A" w:rsidRDefault="00FA1F84" w:rsidP="0054712A">
      <w:r>
        <w:t>The public entity must also consider whether reasonable modifications would mitigate the risk of a direct threat.</w:t>
      </w:r>
      <w:r w:rsidR="00B80194" w:rsidRPr="00D04E7B">
        <w:rPr>
          <w:rStyle w:val="FootnoteReference"/>
        </w:rPr>
        <w:footnoteReference w:id="134"/>
      </w:r>
      <w:r w:rsidR="00B80194" w:rsidRPr="00D04E7B">
        <w:t xml:space="preserve"> </w:t>
      </w:r>
      <w:r w:rsidR="00A96194" w:rsidRPr="00D04E7B">
        <w:t>“</w:t>
      </w:r>
      <w:r w:rsidR="006B0E24" w:rsidRPr="00D04E7B">
        <w:t>[A]n individual who poses a significant risk to the health or safety of others that cannot be ameliorated by means of a reasonable modification is not a qualified individual under § 12131.”</w:t>
      </w:r>
      <w:r w:rsidR="006B0E24" w:rsidRPr="00D04E7B">
        <w:rPr>
          <w:rStyle w:val="FootnoteReference"/>
        </w:rPr>
        <w:footnoteReference w:id="135"/>
      </w:r>
      <w:r w:rsidR="00740C63" w:rsidRPr="00D04E7B">
        <w:t xml:space="preserve"> </w:t>
      </w:r>
      <w:r w:rsidR="00FD02C9" w:rsidRPr="00D04E7B">
        <w:t>A public entity</w:t>
      </w:r>
      <w:r w:rsidR="002376DD" w:rsidRPr="00D04E7B">
        <w:t>, including law enforcement,</w:t>
      </w:r>
      <w:r w:rsidR="00FD02C9" w:rsidRPr="00D04E7B">
        <w:t xml:space="preserve"> does not need to permit a person to participate in the benefits of </w:t>
      </w:r>
      <w:r w:rsidR="00AE4481" w:rsidRPr="00D04E7B">
        <w:t xml:space="preserve">a </w:t>
      </w:r>
      <w:r w:rsidR="00FD02C9" w:rsidRPr="00D04E7B">
        <w:t xml:space="preserve">government program if the “individual poses a direct threat to the </w:t>
      </w:r>
      <w:r w:rsidR="00FD02C9" w:rsidRPr="00D04E7B">
        <w:lastRenderedPageBreak/>
        <w:t>health or safety of others.”</w:t>
      </w:r>
      <w:r w:rsidR="00FD02C9" w:rsidRPr="00D04E7B">
        <w:rPr>
          <w:rStyle w:val="FootnoteReference"/>
        </w:rPr>
        <w:footnoteReference w:id="136"/>
      </w:r>
      <w:r w:rsidR="00FD02C9" w:rsidRPr="00D04E7B">
        <w:t xml:space="preserve"> </w:t>
      </w:r>
      <w:r w:rsidR="00B84F6A" w:rsidRPr="00D04E7B">
        <w:t>However</w:t>
      </w:r>
      <w:r w:rsidR="00FD02C9" w:rsidRPr="00D04E7B">
        <w:t xml:space="preserve">, </w:t>
      </w:r>
      <w:r w:rsidR="00AF13B5" w:rsidRPr="00D04E7B">
        <w:t xml:space="preserve">if an additional reasonable </w:t>
      </w:r>
      <w:r>
        <w:t>modification</w:t>
      </w:r>
      <w:r w:rsidR="00AF13B5" w:rsidRPr="00D04E7B">
        <w:t xml:space="preserve"> would eliminate the direct threat, then the disabled person should be accommodated. </w:t>
      </w:r>
    </w:p>
    <w:p w14:paraId="1695C23F" w14:textId="77777777" w:rsidR="0054712A" w:rsidRDefault="0054712A" w:rsidP="00E95C1C">
      <w:pPr>
        <w:pStyle w:val="Heading1"/>
      </w:pPr>
      <w:bookmarkStart w:id="81" w:name="_Toc185507600"/>
      <w:bookmarkStart w:id="82" w:name="_Toc187054532"/>
      <w:bookmarkStart w:id="83" w:name="_Toc187056518"/>
      <w:r>
        <w:t>Conclusion</w:t>
      </w:r>
      <w:bookmarkEnd w:id="81"/>
      <w:bookmarkEnd w:id="82"/>
      <w:bookmarkEnd w:id="83"/>
      <w:r>
        <w:t xml:space="preserve"> </w:t>
      </w:r>
    </w:p>
    <w:p w14:paraId="27A5B2A4" w14:textId="14193D11" w:rsidR="00413451" w:rsidRDefault="009D706A" w:rsidP="00413451">
      <w:r>
        <w:t>I</w:t>
      </w:r>
      <w:r w:rsidR="0054712A">
        <w:t xml:space="preserve">t is essential that litigation challenging laws that criminalize homelessness includes disability claims to preserve the rights of unhoused people with disabilities. Cases that have litigated these claims have won preliminary injunctions to stop sweeps and strong settlement agreements. For questions or guidance, you can contact DREDF at </w:t>
      </w:r>
      <w:r w:rsidR="00CF603C" w:rsidRPr="00877EBF">
        <w:t>info@dredf.org</w:t>
      </w:r>
      <w:r w:rsidR="00CF603C">
        <w:t>.</w:t>
      </w:r>
      <w:bookmarkStart w:id="84" w:name="_Toc185261693"/>
      <w:bookmarkStart w:id="85" w:name="_Toc185507601"/>
    </w:p>
    <w:p w14:paraId="5A0220DA" w14:textId="77777777" w:rsidR="004F2B0A" w:rsidRDefault="004F2B0A">
      <w:pPr>
        <w:spacing w:before="0" w:after="160" w:line="278" w:lineRule="auto"/>
        <w:rPr>
          <w:rFonts w:ascii="Myriad Pro Light Cond" w:eastAsiaTheme="majorEastAsia" w:hAnsi="Myriad Pro Light Cond" w:cstheme="majorBidi"/>
          <w:b/>
          <w:kern w:val="2"/>
          <w:sz w:val="48"/>
          <w:szCs w:val="50"/>
          <w14:ligatures w14:val="standardContextual"/>
        </w:rPr>
      </w:pPr>
      <w:bookmarkStart w:id="86" w:name="_Toc187054533"/>
      <w:r>
        <w:br w:type="page"/>
      </w:r>
    </w:p>
    <w:p w14:paraId="071D0682" w14:textId="6293C53A" w:rsidR="006E236A" w:rsidRPr="0054712A" w:rsidRDefault="006E236A" w:rsidP="00E95C1C">
      <w:pPr>
        <w:pStyle w:val="Heading1"/>
      </w:pPr>
      <w:bookmarkStart w:id="87" w:name="_Toc187056519"/>
      <w:r w:rsidRPr="0054712A">
        <w:lastRenderedPageBreak/>
        <w:t>About the Author</w:t>
      </w:r>
      <w:bookmarkEnd w:id="84"/>
      <w:bookmarkEnd w:id="85"/>
      <w:bookmarkEnd w:id="86"/>
      <w:bookmarkEnd w:id="87"/>
    </w:p>
    <w:p w14:paraId="3DEC3BA5" w14:textId="4A09D606" w:rsidR="004347F3" w:rsidRDefault="004347F3" w:rsidP="004F2B0A">
      <w:pPr>
        <w:spacing w:line="276" w:lineRule="auto"/>
      </w:pPr>
      <w:r>
        <w:t xml:space="preserve">As a Senior Staff Attorney at DREDF, Erin Nguyen Neff </w:t>
      </w:r>
      <w:r w:rsidR="00834BDD">
        <w:t>focuses on litigation and advocacy related to unhoused people with disabilities, fair housing, and students in special education.</w:t>
      </w:r>
      <w:r>
        <w:t xml:space="preserve"> They began their career as a tenant lawyer for the Legal Aid Society in Brooklyn,</w:t>
      </w:r>
      <w:r w:rsidR="00834BDD">
        <w:t xml:space="preserve"> New York,</w:t>
      </w:r>
      <w:r>
        <w:t xml:space="preserve"> where they defended families at risk of eviction from some of the worst landlords in New York City. Erin has also worked at California Rural Legal Assistance and the Law Foundation of Silicon Valley, where </w:t>
      </w:r>
      <w:r w:rsidR="00834BDD">
        <w:t xml:space="preserve">they </w:t>
      </w:r>
      <w:r>
        <w:t>w</w:t>
      </w:r>
      <w:r w:rsidR="00834BDD">
        <w:t>ere</w:t>
      </w:r>
      <w:r>
        <w:t xml:space="preserve"> the Lead Policy Attorney for the Housing Program. Erin believe</w:t>
      </w:r>
      <w:r w:rsidR="00834BDD">
        <w:t>s</w:t>
      </w:r>
      <w:r>
        <w:t xml:space="preserve"> housing is a human right </w:t>
      </w:r>
      <w:r w:rsidR="00834BDD">
        <w:t>which necessitates the</w:t>
      </w:r>
      <w:r>
        <w:t xml:space="preserve"> decommodification of housing</w:t>
      </w:r>
      <w:r w:rsidR="00834BDD">
        <w:t>.</w:t>
      </w:r>
      <w:r>
        <w:t xml:space="preserve"> </w:t>
      </w:r>
    </w:p>
    <w:p w14:paraId="2EB436B8" w14:textId="76647420" w:rsidR="00D043FF" w:rsidRDefault="004347F3" w:rsidP="004F2B0A">
      <w:pPr>
        <w:spacing w:line="276" w:lineRule="auto"/>
      </w:pPr>
      <w:r>
        <w:t>They completed their undergraduate degree in psychology at George Mason University and their law degree at the American University, Washington College of Law</w:t>
      </w:r>
      <w:r w:rsidR="00AE4583">
        <w:t>.</w:t>
      </w:r>
      <w:r w:rsidR="00834BDD">
        <w:t xml:space="preserve"> </w:t>
      </w:r>
      <w:r>
        <w:t>Erin is licensed to practice law in the state of New York and California.</w:t>
      </w:r>
    </w:p>
    <w:p w14:paraId="692576BA" w14:textId="47358216" w:rsidR="00DD051B" w:rsidRDefault="00DD051B" w:rsidP="004F2B0A">
      <w:pPr>
        <w:pStyle w:val="Heading1"/>
        <w:spacing w:before="480"/>
      </w:pPr>
      <w:bookmarkStart w:id="88" w:name="_Toc185507602"/>
      <w:bookmarkStart w:id="89" w:name="_Toc187054534"/>
      <w:bookmarkStart w:id="90" w:name="_Toc187056520"/>
      <w:r>
        <w:t>Acknowledgments</w:t>
      </w:r>
      <w:bookmarkEnd w:id="88"/>
      <w:bookmarkEnd w:id="89"/>
      <w:bookmarkEnd w:id="90"/>
      <w:r>
        <w:t xml:space="preserve"> </w:t>
      </w:r>
    </w:p>
    <w:p w14:paraId="07A66671" w14:textId="71BCD488" w:rsidR="00DD051B" w:rsidRDefault="004C72F1" w:rsidP="004F2B0A">
      <w:pPr>
        <w:spacing w:line="276" w:lineRule="auto"/>
      </w:pPr>
      <w:r>
        <w:t xml:space="preserve">The author would like to thank Claudia Center and Michelle </w:t>
      </w:r>
      <w:proofErr w:type="spellStart"/>
      <w:r>
        <w:t>Uzeta</w:t>
      </w:r>
      <w:proofErr w:type="spellEnd"/>
      <w:r>
        <w:t xml:space="preserve"> who edited the toolkit and provided valuable input, as well as Ally Cline and Felicia Asbury who helped review the citations, and Tina Pinedo who provided the visual designs for the toolkit. Finally, the author would like to thank the passionate and dedicated litigators whose hard work led to the cases cited in this toolkit. </w:t>
      </w:r>
    </w:p>
    <w:p w14:paraId="07CDF284" w14:textId="381DB0EF" w:rsidR="00DD051B" w:rsidRDefault="00DD051B" w:rsidP="004F2B0A">
      <w:pPr>
        <w:pStyle w:val="Heading1"/>
        <w:spacing w:before="480"/>
      </w:pPr>
      <w:bookmarkStart w:id="91" w:name="_Toc185507603"/>
      <w:bookmarkStart w:id="92" w:name="_Toc187054535"/>
      <w:bookmarkStart w:id="93" w:name="_Toc187056521"/>
      <w:r w:rsidRPr="00FA1F84">
        <w:t>Disclaimer</w:t>
      </w:r>
      <w:r>
        <w:t>s</w:t>
      </w:r>
      <w:bookmarkEnd w:id="91"/>
      <w:bookmarkEnd w:id="92"/>
      <w:bookmarkEnd w:id="93"/>
    </w:p>
    <w:p w14:paraId="02DD5D6B" w14:textId="5DF06A99" w:rsidR="00DD051B" w:rsidRPr="00FA1F84" w:rsidRDefault="00DD051B" w:rsidP="004F2B0A">
      <w:pPr>
        <w:spacing w:line="276" w:lineRule="auto"/>
      </w:pPr>
      <w:r w:rsidRPr="00FA1F84">
        <w:t xml:space="preserve">This toolkit published by DREDF is available for informational and educational purposes only.  It does not create an attorney-client relationship. It should not be considered legal advice on any subject matter or be used as a substitute for legal advice. You should consult with an attorney before you rely on </w:t>
      </w:r>
      <w:r w:rsidR="006C3BE5">
        <w:t xml:space="preserve">the </w:t>
      </w:r>
      <w:r w:rsidRPr="00FA1F84">
        <w:t>information in this toolkit.</w:t>
      </w:r>
    </w:p>
    <w:p w14:paraId="015577FA" w14:textId="035E22CB" w:rsidR="00DD051B" w:rsidRPr="00FA1F84" w:rsidRDefault="00DD051B" w:rsidP="004F2B0A">
      <w:pPr>
        <w:spacing w:line="276" w:lineRule="auto"/>
      </w:pPr>
      <w:r w:rsidRPr="00FA1F84">
        <w:t xml:space="preserve">The information provided </w:t>
      </w:r>
      <w:r w:rsidR="006C3BE5">
        <w:t>i</w:t>
      </w:r>
      <w:r w:rsidRPr="00FA1F84">
        <w:t>n DREDF’s toolkit is accurate and true to the best of DREDF’s knowledge as of the time it was written. The information provided may not be up to date and may include omissions, errors</w:t>
      </w:r>
      <w:r w:rsidR="006C3BE5">
        <w:t>,</w:t>
      </w:r>
      <w:r w:rsidRPr="00FA1F84">
        <w:t xml:space="preserve"> or mistakes.</w:t>
      </w:r>
    </w:p>
    <w:p w14:paraId="46E86017" w14:textId="77777777" w:rsidR="00DD051B" w:rsidRPr="00FA1F84" w:rsidRDefault="00DD051B" w:rsidP="004F2B0A">
      <w:pPr>
        <w:spacing w:line="276" w:lineRule="auto"/>
      </w:pPr>
      <w:r w:rsidRPr="00FA1F84">
        <w:t>DREDF’s toolkit may contain links to external, or third-party websites. These links are provided solely for readers’ convenience. Links taken to other sites are at your own risk and DREDF accepts no liability for any linked sites or their content. </w:t>
      </w:r>
    </w:p>
    <w:p w14:paraId="6DF2F05D" w14:textId="1748FBC7" w:rsidR="00F97636" w:rsidRPr="00D04E7B" w:rsidRDefault="00DD051B" w:rsidP="004F2B0A">
      <w:pPr>
        <w:spacing w:line="276" w:lineRule="auto"/>
      </w:pPr>
      <w:r w:rsidRPr="00FA1F84">
        <w:t>If you are seeking legal assistance from DREDF or would like to consult with DREDF on a legal issue, please contact DREDF by calling (510) 644-2555 or by email at info@dredf.org.</w:t>
      </w:r>
    </w:p>
    <w:sectPr w:rsidR="00F97636" w:rsidRPr="00D04E7B" w:rsidSect="00E95C1C">
      <w:footerReference w:type="default" r:id="rId11"/>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4E9A7" w14:textId="77777777" w:rsidR="00E845D1" w:rsidRDefault="00E845D1" w:rsidP="006E236A">
      <w:r>
        <w:separator/>
      </w:r>
    </w:p>
    <w:p w14:paraId="41E46969" w14:textId="77777777" w:rsidR="00E845D1" w:rsidRDefault="00E845D1" w:rsidP="006E236A"/>
  </w:endnote>
  <w:endnote w:type="continuationSeparator" w:id="0">
    <w:p w14:paraId="65AB3CF2" w14:textId="77777777" w:rsidR="00E845D1" w:rsidRDefault="00E845D1" w:rsidP="006E236A">
      <w:r>
        <w:continuationSeparator/>
      </w:r>
    </w:p>
    <w:p w14:paraId="754DEB19" w14:textId="77777777" w:rsidR="00E845D1" w:rsidRDefault="00E845D1" w:rsidP="006E236A"/>
  </w:endnote>
  <w:endnote w:type="continuationNotice" w:id="1">
    <w:p w14:paraId="62870470" w14:textId="77777777" w:rsidR="00E845D1" w:rsidRDefault="00E845D1" w:rsidP="006E236A"/>
    <w:p w14:paraId="70C23804" w14:textId="77777777" w:rsidR="00E845D1" w:rsidRDefault="00E845D1" w:rsidP="006E2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8687DCD-8227-B045-BBCA-9D1FC491B1A2}"/>
    <w:embedBold r:id="rId2" w:fontKey="{096C6E33-2ABC-F147-B61F-4E940DCDCEF8}"/>
    <w:embedItalic r:id="rId3" w:fontKey="{BB57711F-8A18-A64A-9697-8F5FF0410333}"/>
    <w:embedBoldItalic r:id="rId4" w:fontKey="{71C9C61A-68A0-2C47-BE04-6090E9276A9C}"/>
  </w:font>
  <w:font w:name="Symbol">
    <w:panose1 w:val="05050102010706020507"/>
    <w:charset w:val="02"/>
    <w:family w:val="decorative"/>
    <w:pitch w:val="variable"/>
    <w:sig w:usb0="00000000" w:usb1="10000000" w:usb2="00000000" w:usb3="00000000" w:csb0="80000000" w:csb1="00000000"/>
    <w:embedRegular r:id="rId5" w:fontKey="{6320C906-94CE-0241-A4FB-E789C9047B36}"/>
  </w:font>
  <w:font w:name="&quot;Courier New&quot;">
    <w:altName w:val="Cambria"/>
    <w:panose1 w:val="020B0604020202020204"/>
    <w:charset w:val="00"/>
    <w:family w:val="roman"/>
    <w:pitch w:val="default"/>
  </w:font>
  <w:font w:name="Wingdings">
    <w:panose1 w:val="05000000000000000000"/>
    <w:charset w:val="4D"/>
    <w:family w:val="decorative"/>
    <w:pitch w:val="variable"/>
    <w:sig w:usb0="00000003" w:usb1="00000000" w:usb2="00000000" w:usb3="00000000" w:csb0="80000001" w:csb1="00000000"/>
    <w:embedRegular r:id="rId7" w:fontKey="{9804C2A2-08E2-8E42-81B7-712F670E212A}"/>
  </w:font>
  <w:font w:name="Courier New">
    <w:panose1 w:val="02070309020205020404"/>
    <w:charset w:val="00"/>
    <w:family w:val="modern"/>
    <w:pitch w:val="fixed"/>
    <w:sig w:usb0="E0002EFF" w:usb1="C0007843" w:usb2="00000009" w:usb3="00000000" w:csb0="000001FF" w:csb1="00000000"/>
    <w:embedRegular r:id="rId8" w:fontKey="{30C8B9E4-2E8D-684C-8F48-ECC6A79C1129}"/>
  </w:font>
  <w:font w:name="Aptos">
    <w:panose1 w:val="020B0004020202020204"/>
    <w:charset w:val="00"/>
    <w:family w:val="swiss"/>
    <w:pitch w:val="variable"/>
    <w:sig w:usb0="20000287" w:usb1="00000003" w:usb2="00000000" w:usb3="00000000" w:csb0="0000019F" w:csb1="00000000"/>
    <w:embedRegular r:id="rId9" w:fontKey="{557B5111-F2D7-0D47-AC4E-95649E6BAD01}"/>
    <w:embedBold r:id="rId10" w:fontKey="{A8F1D5DD-96DC-6543-B649-38AB2AA8A56A}"/>
    <w:embedItalic r:id="rId11" w:fontKey="{DC68277F-12C0-7C49-A3A3-39BD038E78E6}"/>
  </w:font>
  <w:font w:name="Arial">
    <w:panose1 w:val="020B0604020202020204"/>
    <w:charset w:val="00"/>
    <w:family w:val="swiss"/>
    <w:pitch w:val="variable"/>
    <w:sig w:usb0="E0002EFF" w:usb1="C000785B" w:usb2="00000009" w:usb3="00000000" w:csb0="000001FF" w:csb1="00000000"/>
    <w:embedRegular r:id="rId12" w:fontKey="{5DC9AB12-06BB-3B42-BA34-B366D0C80E46}"/>
    <w:embedBold r:id="rId13" w:fontKey="{83169E1C-EBE7-1141-AE28-0716EFB264AA}"/>
    <w:embedItalic r:id="rId14" w:fontKey="{486BC221-D8E1-8B4A-9EDE-5A0EB859E4D4}"/>
    <w:embedBoldItalic r:id="rId15" w:fontKey="{67419060-E135-094F-B3A6-2C198966565F}"/>
  </w:font>
  <w:font w:name="Myriad Pro">
    <w:altName w:val="Segoe UI"/>
    <w:panose1 w:val="020B0503030403020204"/>
    <w:charset w:val="00"/>
    <w:family w:val="swiss"/>
    <w:notTrueType/>
    <w:pitch w:val="variable"/>
    <w:sig w:usb0="A00002AF" w:usb1="5000204B" w:usb2="00000000" w:usb3="00000000" w:csb0="0000009F" w:csb1="00000000"/>
  </w:font>
  <w:font w:name="Myriad Pro Light Cond">
    <w:altName w:val="Segoe UI Light"/>
    <w:panose1 w:val="020B0406030403020204"/>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16" w:fontKey="{6EAD25DA-7A63-9444-A2A0-BFE561F26416}"/>
  </w:font>
  <w:font w:name="Myriad Pro Cond">
    <w:altName w:val="Myriad Pro Condensed"/>
    <w:panose1 w:val="020B0506030403020204"/>
    <w:charset w:val="00"/>
    <w:family w:val="swiss"/>
    <w:notTrueType/>
    <w:pitch w:val="variable"/>
    <w:sig w:usb0="A00002AF" w:usb1="5000204B" w:usb2="00000000" w:usb3="00000000" w:csb0="0000009F" w:csb1="00000000"/>
  </w:font>
  <w:font w:name="MyriadPro-BoldCond">
    <w:altName w:val="Calibri"/>
    <w:panose1 w:val="020B0706030403020204"/>
    <w:charset w:val="00"/>
    <w:family w:val="swiss"/>
    <w:notTrueType/>
    <w:pitch w:val="variable"/>
    <w:sig w:usb0="A00002AF" w:usb1="5000204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23362" w14:textId="77777777" w:rsidR="009D3BED" w:rsidRPr="005C4B2F" w:rsidRDefault="009D3BED" w:rsidP="005C4B2F">
    <w:pPr>
      <w:pStyle w:val="Footer"/>
      <w:ind w:right="36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61EA8" w14:textId="7C1A8907" w:rsidR="00B4126D" w:rsidRPr="00B4126D" w:rsidRDefault="00B4126D" w:rsidP="00B4126D">
    <w:pPr>
      <w:pStyle w:val="Footer"/>
      <w:tabs>
        <w:tab w:val="clear" w:pos="9360"/>
      </w:tabs>
      <w:spacing w:before="360" w:after="0" w:line="240" w:lineRule="auto"/>
      <w:rPr>
        <w:bCs/>
      </w:rPr>
    </w:pPr>
    <w:r w:rsidRPr="00B4126D">
      <w:rPr>
        <w:bCs/>
      </w:rPr>
      <w:t>Legal Advocacy for Unhoused People with Disabilities: A Toolkit to Challenge California Laws Criminalizing Homelessness</w:t>
    </w:r>
    <w:sdt>
      <w:sdtPr>
        <w:rPr>
          <w:rStyle w:val="PageNumber"/>
        </w:rPr>
        <w:id w:val="163901564"/>
        <w:docPartObj>
          <w:docPartGallery w:val="Page Numbers (Bottom of Page)"/>
          <w:docPartUnique/>
        </w:docPartObj>
      </w:sdtPr>
      <w:sdtContent>
        <w:r w:rsidR="00C15DAD">
          <w:rPr>
            <w:rStyle w:val="PageNumber"/>
          </w:rPr>
          <w:t xml:space="preserve"> </w:t>
        </w:r>
        <w:r>
          <w:rPr>
            <w:rStyle w:val="PageNumber"/>
          </w:rPr>
          <w:tab/>
        </w:r>
        <w:r>
          <w:rPr>
            <w:rStyle w:val="PageNumber"/>
          </w:rPr>
          <w:tab/>
          <w:t xml:space="preserve">         </w:t>
        </w:r>
        <w:r w:rsidR="006E236A" w:rsidRPr="004300CD">
          <w:rPr>
            <w:rStyle w:val="PageNumber"/>
          </w:rPr>
          <w:fldChar w:fldCharType="begin"/>
        </w:r>
        <w:r w:rsidR="006E236A" w:rsidRPr="004300CD">
          <w:rPr>
            <w:rStyle w:val="PageNumber"/>
          </w:rPr>
          <w:instrText xml:space="preserve"> PAGE </w:instrText>
        </w:r>
        <w:r w:rsidR="006E236A" w:rsidRPr="004300CD">
          <w:rPr>
            <w:rStyle w:val="PageNumber"/>
          </w:rPr>
          <w:fldChar w:fldCharType="separate"/>
        </w:r>
        <w:r w:rsidR="006E236A" w:rsidRPr="004300CD">
          <w:rPr>
            <w:rStyle w:val="PageNumber"/>
          </w:rPr>
          <w:t>16</w:t>
        </w:r>
        <w:r w:rsidR="006E236A" w:rsidRPr="004300CD">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85067" w14:textId="77777777" w:rsidR="00E845D1" w:rsidRDefault="00E845D1" w:rsidP="009D3BED">
      <w:pPr>
        <w:spacing w:before="0" w:after="0" w:line="240" w:lineRule="auto"/>
      </w:pPr>
      <w:r>
        <w:separator/>
      </w:r>
    </w:p>
  </w:footnote>
  <w:footnote w:type="continuationSeparator" w:id="0">
    <w:p w14:paraId="6BFC48C7" w14:textId="77777777" w:rsidR="00E845D1" w:rsidRDefault="00E845D1" w:rsidP="006E236A">
      <w:r>
        <w:continuationSeparator/>
      </w:r>
    </w:p>
    <w:p w14:paraId="4880FB2C" w14:textId="77777777" w:rsidR="00E845D1" w:rsidRDefault="00E845D1" w:rsidP="006E236A"/>
  </w:footnote>
  <w:footnote w:type="continuationNotice" w:id="1">
    <w:p w14:paraId="3FB34F08" w14:textId="77777777" w:rsidR="00E845D1" w:rsidRDefault="00E845D1" w:rsidP="006E236A"/>
    <w:p w14:paraId="5CEBBC72" w14:textId="77777777" w:rsidR="00E845D1" w:rsidRDefault="00E845D1" w:rsidP="006E236A"/>
  </w:footnote>
  <w:footnote w:id="2">
    <w:p w14:paraId="71835AA1" w14:textId="5C85974F" w:rsidR="007F193C" w:rsidRPr="00795961" w:rsidRDefault="007F193C" w:rsidP="00BE5D97">
      <w:pPr>
        <w:pStyle w:val="FootnoteText"/>
        <w:spacing w:after="0" w:line="220" w:lineRule="exact"/>
        <w:rPr>
          <w:i w:val="0"/>
          <w:iCs/>
          <w:lang w:val="nl-NL"/>
        </w:rPr>
      </w:pPr>
      <w:r w:rsidRPr="00795961">
        <w:rPr>
          <w:rStyle w:val="FootnoteReference"/>
          <w:i w:val="0"/>
          <w:iCs/>
          <w:sz w:val="21"/>
          <w:szCs w:val="21"/>
        </w:rPr>
        <w:footnoteRef/>
      </w:r>
      <w:r w:rsidRPr="00795961">
        <w:rPr>
          <w:i w:val="0"/>
          <w:iCs/>
        </w:rPr>
        <w:t xml:space="preserve"> </w:t>
      </w:r>
      <w:r w:rsidR="43A30A19" w:rsidRPr="00795961">
        <w:rPr>
          <w:i w:val="0"/>
          <w:iCs/>
        </w:rPr>
        <w:t xml:space="preserve">Tanya de </w:t>
      </w:r>
      <w:r w:rsidR="30034892" w:rsidRPr="00795961">
        <w:rPr>
          <w:i w:val="0"/>
          <w:iCs/>
        </w:rPr>
        <w:t xml:space="preserve">Sousa et al., </w:t>
      </w:r>
      <w:r w:rsidR="30034892" w:rsidRPr="00795961">
        <w:rPr>
          <w:i w:val="0"/>
          <w:iCs/>
          <w:u w:val="single"/>
        </w:rPr>
        <w:t>The</w:t>
      </w:r>
      <w:r w:rsidRPr="00795961">
        <w:rPr>
          <w:i w:val="0"/>
          <w:iCs/>
          <w:u w:val="single"/>
        </w:rPr>
        <w:t xml:space="preserve"> 202</w:t>
      </w:r>
      <w:r w:rsidR="00753DDB">
        <w:rPr>
          <w:i w:val="0"/>
          <w:iCs/>
          <w:u w:val="single"/>
        </w:rPr>
        <w:t>4</w:t>
      </w:r>
      <w:r w:rsidRPr="00795961">
        <w:rPr>
          <w:i w:val="0"/>
          <w:iCs/>
          <w:u w:val="single"/>
        </w:rPr>
        <w:t xml:space="preserve"> Annual Homelessness Assessment Report to Congress</w:t>
      </w:r>
      <w:r w:rsidRPr="00795961">
        <w:rPr>
          <w:i w:val="0"/>
          <w:iCs/>
        </w:rPr>
        <w:t xml:space="preserve">, </w:t>
      </w:r>
      <w:r w:rsidR="1B8963E3" w:rsidRPr="00795961">
        <w:rPr>
          <w:i w:val="0"/>
          <w:iCs/>
        </w:rPr>
        <w:t xml:space="preserve">U.S. </w:t>
      </w:r>
      <w:proofErr w:type="spellStart"/>
      <w:r w:rsidR="35B643A2" w:rsidRPr="00795961">
        <w:rPr>
          <w:i w:val="0"/>
          <w:iCs/>
        </w:rPr>
        <w:t>Dep’t</w:t>
      </w:r>
      <w:proofErr w:type="spellEnd"/>
      <w:r w:rsidR="1B8963E3" w:rsidRPr="00795961">
        <w:rPr>
          <w:i w:val="0"/>
          <w:iCs/>
        </w:rPr>
        <w:t xml:space="preserve"> of </w:t>
      </w:r>
      <w:proofErr w:type="spellStart"/>
      <w:r w:rsidR="35B643A2" w:rsidRPr="00795961">
        <w:rPr>
          <w:i w:val="0"/>
          <w:iCs/>
        </w:rPr>
        <w:t>Hous</w:t>
      </w:r>
      <w:proofErr w:type="spellEnd"/>
      <w:r w:rsidR="35B643A2" w:rsidRPr="00795961">
        <w:rPr>
          <w:i w:val="0"/>
          <w:iCs/>
        </w:rPr>
        <w:t>.</w:t>
      </w:r>
      <w:r w:rsidR="1B8963E3" w:rsidRPr="00795961">
        <w:rPr>
          <w:i w:val="0"/>
          <w:iCs/>
        </w:rPr>
        <w:t xml:space="preserve"> and </w:t>
      </w:r>
      <w:r w:rsidR="35B643A2" w:rsidRPr="00795961">
        <w:rPr>
          <w:i w:val="0"/>
          <w:iCs/>
        </w:rPr>
        <w:t xml:space="preserve">Urb. Dev., </w:t>
      </w:r>
      <w:proofErr w:type="gramStart"/>
      <w:r w:rsidR="35B643A2" w:rsidRPr="00795961">
        <w:rPr>
          <w:i w:val="0"/>
          <w:iCs/>
        </w:rPr>
        <w:t>Off</w:t>
      </w:r>
      <w:proofErr w:type="gramEnd"/>
      <w:r w:rsidR="35B643A2" w:rsidRPr="00795961">
        <w:rPr>
          <w:i w:val="0"/>
          <w:iCs/>
        </w:rPr>
        <w:t>.</w:t>
      </w:r>
      <w:r w:rsidR="1B8963E3" w:rsidRPr="00795961">
        <w:rPr>
          <w:i w:val="0"/>
          <w:iCs/>
        </w:rPr>
        <w:t xml:space="preserve"> of </w:t>
      </w:r>
      <w:proofErr w:type="spellStart"/>
      <w:r w:rsidR="35B643A2" w:rsidRPr="00795961">
        <w:rPr>
          <w:i w:val="0"/>
          <w:iCs/>
        </w:rPr>
        <w:t>Cmty</w:t>
      </w:r>
      <w:proofErr w:type="spellEnd"/>
      <w:r w:rsidR="35B643A2" w:rsidRPr="00795961">
        <w:rPr>
          <w:i w:val="0"/>
          <w:iCs/>
        </w:rPr>
        <w:t xml:space="preserve">. </w:t>
      </w:r>
      <w:r w:rsidR="35B643A2" w:rsidRPr="00795961">
        <w:rPr>
          <w:i w:val="0"/>
          <w:iCs/>
          <w:lang w:val="nl-NL"/>
        </w:rPr>
        <w:t>Plan</w:t>
      </w:r>
      <w:r w:rsidR="00F02263" w:rsidRPr="00795961">
        <w:rPr>
          <w:i w:val="0"/>
          <w:iCs/>
          <w:lang w:val="nl-NL"/>
        </w:rPr>
        <w:t xml:space="preserve">, 2, 16 </w:t>
      </w:r>
      <w:r w:rsidR="0AB670AD" w:rsidRPr="00795961">
        <w:rPr>
          <w:i w:val="0"/>
          <w:iCs/>
          <w:lang w:val="nl-NL"/>
        </w:rPr>
        <w:t>(</w:t>
      </w:r>
      <w:r w:rsidR="7BB92536" w:rsidRPr="00795961">
        <w:rPr>
          <w:i w:val="0"/>
          <w:iCs/>
          <w:lang w:val="nl-NL"/>
        </w:rPr>
        <w:t>Dec.</w:t>
      </w:r>
      <w:r w:rsidRPr="00795961">
        <w:rPr>
          <w:i w:val="0"/>
          <w:iCs/>
          <w:lang w:val="nl-NL"/>
        </w:rPr>
        <w:t xml:space="preserve"> 202</w:t>
      </w:r>
      <w:r w:rsidR="00753DDB">
        <w:rPr>
          <w:i w:val="0"/>
          <w:iCs/>
          <w:lang w:val="nl-NL"/>
        </w:rPr>
        <w:t>4</w:t>
      </w:r>
      <w:r w:rsidR="0463B797" w:rsidRPr="00795961">
        <w:rPr>
          <w:i w:val="0"/>
          <w:iCs/>
          <w:lang w:val="nl-NL"/>
        </w:rPr>
        <w:t>)</w:t>
      </w:r>
      <w:r w:rsidR="00F02263" w:rsidRPr="00795961">
        <w:rPr>
          <w:i w:val="0"/>
          <w:iCs/>
          <w:lang w:val="nl-NL"/>
        </w:rPr>
        <w:t xml:space="preserve">, </w:t>
      </w:r>
      <w:r w:rsidR="00BC7DCB" w:rsidRPr="00AB5D1B">
        <w:t>https://www.huduser.gov/portal/sites/default/files/pdf/2024-AHAR-Part-1.pdf</w:t>
      </w:r>
      <w:r w:rsidR="00753DDB">
        <w:rPr>
          <w:i w:val="0"/>
          <w:iCs/>
          <w:lang w:val="nl-NL"/>
        </w:rPr>
        <w:t xml:space="preserve">. </w:t>
      </w:r>
    </w:p>
  </w:footnote>
  <w:footnote w:id="3">
    <w:p w14:paraId="3996164B" w14:textId="41D6C5AB" w:rsidR="002939A4" w:rsidRPr="00795961" w:rsidRDefault="002939A4" w:rsidP="00BE5D97">
      <w:pPr>
        <w:pStyle w:val="FootnoteText"/>
        <w:spacing w:after="0" w:line="220" w:lineRule="exact"/>
        <w:rPr>
          <w:i w:val="0"/>
          <w:iCs/>
        </w:rPr>
      </w:pPr>
      <w:r w:rsidRPr="00795961">
        <w:rPr>
          <w:rStyle w:val="FootnoteReference"/>
          <w:i w:val="0"/>
          <w:iCs/>
          <w:sz w:val="21"/>
          <w:szCs w:val="21"/>
        </w:rPr>
        <w:footnoteRef/>
      </w:r>
      <w:r w:rsidRPr="00795961">
        <w:rPr>
          <w:i w:val="0"/>
          <w:iCs/>
        </w:rPr>
        <w:t xml:space="preserve"> </w:t>
      </w:r>
      <w:r w:rsidR="11E1B886" w:rsidRPr="00795961">
        <w:rPr>
          <w:i w:val="0"/>
          <w:iCs/>
        </w:rPr>
        <w:t xml:space="preserve">Margot </w:t>
      </w:r>
      <w:proofErr w:type="spellStart"/>
      <w:r w:rsidR="2804FFE5" w:rsidRPr="00795961">
        <w:rPr>
          <w:i w:val="0"/>
          <w:iCs/>
        </w:rPr>
        <w:t>Kushel</w:t>
      </w:r>
      <w:proofErr w:type="spellEnd"/>
      <w:r w:rsidR="2804FFE5" w:rsidRPr="00795961">
        <w:rPr>
          <w:i w:val="0"/>
          <w:iCs/>
        </w:rPr>
        <w:t xml:space="preserve"> &amp; Tiana </w:t>
      </w:r>
      <w:r w:rsidR="5E36D9D0" w:rsidRPr="00795961">
        <w:rPr>
          <w:i w:val="0"/>
          <w:iCs/>
        </w:rPr>
        <w:t xml:space="preserve">Moore, </w:t>
      </w:r>
      <w:proofErr w:type="gramStart"/>
      <w:r w:rsidR="5E36D9D0" w:rsidRPr="00795961">
        <w:rPr>
          <w:i w:val="0"/>
          <w:iCs/>
          <w:u w:val="single"/>
        </w:rPr>
        <w:t>Toward</w:t>
      </w:r>
      <w:proofErr w:type="gramEnd"/>
      <w:r w:rsidR="00E64ACA" w:rsidRPr="00795961">
        <w:rPr>
          <w:i w:val="0"/>
          <w:iCs/>
          <w:u w:val="single"/>
        </w:rPr>
        <w:t xml:space="preserve"> a New Understanding</w:t>
      </w:r>
      <w:r w:rsidR="00852E5B" w:rsidRPr="00795961">
        <w:rPr>
          <w:i w:val="0"/>
          <w:iCs/>
          <w:u w:val="single"/>
        </w:rPr>
        <w:t>: The California Statewide Study of People Experiencing Homelessness,</w:t>
      </w:r>
      <w:r w:rsidRPr="00795961">
        <w:rPr>
          <w:i w:val="0"/>
          <w:iCs/>
        </w:rPr>
        <w:t xml:space="preserve"> </w:t>
      </w:r>
      <w:r w:rsidR="20BC2A44" w:rsidRPr="00795961">
        <w:rPr>
          <w:i w:val="0"/>
          <w:iCs/>
        </w:rPr>
        <w:t>UCSF Benioff</w:t>
      </w:r>
      <w:r w:rsidR="3FB486C5" w:rsidRPr="00795961">
        <w:rPr>
          <w:i w:val="0"/>
          <w:iCs/>
        </w:rPr>
        <w:t xml:space="preserve"> </w:t>
      </w:r>
      <w:r w:rsidR="2486C9E3" w:rsidRPr="00795961">
        <w:rPr>
          <w:i w:val="0"/>
          <w:iCs/>
        </w:rPr>
        <w:t>Homelessness</w:t>
      </w:r>
      <w:r w:rsidR="6A044562" w:rsidRPr="00795961">
        <w:rPr>
          <w:i w:val="0"/>
          <w:iCs/>
        </w:rPr>
        <w:t xml:space="preserve"> </w:t>
      </w:r>
      <w:r w:rsidR="5E24085E" w:rsidRPr="00795961">
        <w:rPr>
          <w:i w:val="0"/>
          <w:iCs/>
        </w:rPr>
        <w:t>and</w:t>
      </w:r>
      <w:r w:rsidR="6A044562" w:rsidRPr="00795961">
        <w:rPr>
          <w:i w:val="0"/>
          <w:iCs/>
        </w:rPr>
        <w:t xml:space="preserve"> </w:t>
      </w:r>
      <w:proofErr w:type="spellStart"/>
      <w:r w:rsidR="35B643A2" w:rsidRPr="00795961">
        <w:rPr>
          <w:i w:val="0"/>
          <w:iCs/>
        </w:rPr>
        <w:t>Hous</w:t>
      </w:r>
      <w:proofErr w:type="spellEnd"/>
      <w:r w:rsidR="35B643A2" w:rsidRPr="00795961">
        <w:rPr>
          <w:i w:val="0"/>
          <w:iCs/>
        </w:rPr>
        <w:t>.</w:t>
      </w:r>
      <w:r w:rsidR="30683954" w:rsidRPr="00795961">
        <w:rPr>
          <w:i w:val="0"/>
          <w:iCs/>
        </w:rPr>
        <w:t xml:space="preserve"> </w:t>
      </w:r>
      <w:r w:rsidR="3E551776" w:rsidRPr="00795961">
        <w:rPr>
          <w:i w:val="0"/>
          <w:iCs/>
        </w:rPr>
        <w:t>Initiative</w:t>
      </w:r>
      <w:r w:rsidR="007849BE" w:rsidRPr="00795961">
        <w:rPr>
          <w:i w:val="0"/>
          <w:iCs/>
        </w:rPr>
        <w:t>,</w:t>
      </w:r>
      <w:r w:rsidR="3E551776" w:rsidRPr="00795961">
        <w:rPr>
          <w:i w:val="0"/>
          <w:iCs/>
        </w:rPr>
        <w:t xml:space="preserve"> 27</w:t>
      </w:r>
      <w:r w:rsidR="00852E5B" w:rsidRPr="00795961">
        <w:rPr>
          <w:i w:val="0"/>
          <w:iCs/>
        </w:rPr>
        <w:t xml:space="preserve"> (June 2023</w:t>
      </w:r>
      <w:r w:rsidR="35B643A2" w:rsidRPr="00795961">
        <w:rPr>
          <w:i w:val="0"/>
          <w:iCs/>
        </w:rPr>
        <w:t>),</w:t>
      </w:r>
      <w:r w:rsidR="0F42E0FB" w:rsidRPr="00795961">
        <w:rPr>
          <w:i w:val="0"/>
          <w:iCs/>
        </w:rPr>
        <w:t xml:space="preserve"> https://homelessness.ucsf.edu/sites/default/files/2023-06/CASPEH_Report_62023.pdf</w:t>
      </w:r>
      <w:r w:rsidR="69AE5D3B" w:rsidRPr="00795961">
        <w:rPr>
          <w:i w:val="0"/>
          <w:iCs/>
        </w:rPr>
        <w:t>.</w:t>
      </w:r>
    </w:p>
  </w:footnote>
  <w:footnote w:id="4">
    <w:p w14:paraId="2B7531F4" w14:textId="092C16A6" w:rsidR="00F97D34" w:rsidRPr="00AF6496" w:rsidRDefault="00F97D34" w:rsidP="00BE5D97">
      <w:pPr>
        <w:pStyle w:val="FootnoteText"/>
        <w:spacing w:after="0" w:line="220" w:lineRule="exact"/>
        <w:rPr>
          <w:sz w:val="15"/>
          <w:szCs w:val="15"/>
        </w:rPr>
      </w:pPr>
      <w:r w:rsidRPr="00795961">
        <w:rPr>
          <w:rStyle w:val="FootnoteReference"/>
          <w:i w:val="0"/>
          <w:iCs/>
          <w:sz w:val="21"/>
          <w:szCs w:val="21"/>
        </w:rPr>
        <w:footnoteRef/>
      </w:r>
      <w:r w:rsidRPr="00795961">
        <w:rPr>
          <w:i w:val="0"/>
          <w:iCs/>
        </w:rPr>
        <w:t xml:space="preserve"> </w:t>
      </w:r>
      <w:r w:rsidRPr="008A1EBE">
        <w:t>City of Grants Pass, Oregon v. Johnson</w:t>
      </w:r>
      <w:r w:rsidRPr="00795961">
        <w:rPr>
          <w:i w:val="0"/>
          <w:iCs/>
        </w:rPr>
        <w:t>, 144 S. Ct. 2202 (2024)</w:t>
      </w:r>
      <w:r w:rsidR="007849BE" w:rsidRPr="00795961">
        <w:rPr>
          <w:i w:val="0"/>
          <w:iCs/>
        </w:rPr>
        <w:t>.</w:t>
      </w:r>
    </w:p>
  </w:footnote>
  <w:footnote w:id="5">
    <w:p w14:paraId="5D0A9F1F" w14:textId="5FF8CCA1" w:rsidR="00E95E68" w:rsidRPr="000C541E" w:rsidRDefault="00E95E68" w:rsidP="00BE5D97">
      <w:pPr>
        <w:pStyle w:val="FootnoteText"/>
        <w:spacing w:after="0" w:line="220" w:lineRule="exact"/>
        <w:rPr>
          <w:i w:val="0"/>
          <w:iCs/>
        </w:rPr>
      </w:pPr>
      <w:r w:rsidRPr="008A1EBE">
        <w:rPr>
          <w:rStyle w:val="FootnoteReference"/>
          <w:i w:val="0"/>
          <w:iCs/>
        </w:rPr>
        <w:footnoteRef/>
      </w:r>
      <w:r w:rsidRPr="000C541E">
        <w:rPr>
          <w:i w:val="0"/>
          <w:iCs/>
        </w:rPr>
        <w:t xml:space="preserve"> </w:t>
      </w:r>
      <w:proofErr w:type="spellStart"/>
      <w:r w:rsidR="35B643A2" w:rsidRPr="000C541E">
        <w:rPr>
          <w:i w:val="0"/>
          <w:iCs/>
        </w:rPr>
        <w:t>Kushel</w:t>
      </w:r>
      <w:proofErr w:type="spellEnd"/>
      <w:r w:rsidR="64C66F32" w:rsidRPr="000C541E">
        <w:rPr>
          <w:i w:val="0"/>
          <w:iCs/>
        </w:rPr>
        <w:t xml:space="preserve"> &amp; </w:t>
      </w:r>
      <w:r w:rsidR="1A36723B" w:rsidRPr="000C541E">
        <w:rPr>
          <w:i w:val="0"/>
          <w:iCs/>
        </w:rPr>
        <w:t>Moore</w:t>
      </w:r>
      <w:r w:rsidR="39E726FA" w:rsidRPr="000C541E">
        <w:rPr>
          <w:i w:val="0"/>
          <w:iCs/>
        </w:rPr>
        <w:t xml:space="preserve">, </w:t>
      </w:r>
      <w:r w:rsidR="39E726FA" w:rsidRPr="008A1EBE">
        <w:t>supra</w:t>
      </w:r>
      <w:r w:rsidR="6390B8E9" w:rsidRPr="000C541E">
        <w:rPr>
          <w:i w:val="0"/>
          <w:iCs/>
        </w:rPr>
        <w:t xml:space="preserve"> </w:t>
      </w:r>
      <w:r w:rsidR="185095E9" w:rsidRPr="000C541E">
        <w:rPr>
          <w:i w:val="0"/>
          <w:iCs/>
        </w:rPr>
        <w:t>note 2</w:t>
      </w:r>
      <w:r w:rsidR="1C23F78A" w:rsidRPr="000C541E">
        <w:rPr>
          <w:i w:val="0"/>
          <w:iCs/>
        </w:rPr>
        <w:t>,</w:t>
      </w:r>
      <w:r w:rsidR="185095E9" w:rsidRPr="000C541E">
        <w:rPr>
          <w:i w:val="0"/>
          <w:iCs/>
        </w:rPr>
        <w:t xml:space="preserve"> at </w:t>
      </w:r>
      <w:r w:rsidR="7844D224" w:rsidRPr="000C541E">
        <w:rPr>
          <w:i w:val="0"/>
          <w:iCs/>
        </w:rPr>
        <w:t>27</w:t>
      </w:r>
      <w:r w:rsidR="255D8397" w:rsidRPr="000C541E">
        <w:rPr>
          <w:i w:val="0"/>
          <w:iCs/>
        </w:rPr>
        <w:t>.</w:t>
      </w:r>
    </w:p>
  </w:footnote>
  <w:footnote w:id="6">
    <w:p w14:paraId="2F2AC120" w14:textId="0C0A89D2" w:rsidR="001A7723" w:rsidRPr="000C541E" w:rsidRDefault="001A7723" w:rsidP="00BE5D97">
      <w:pPr>
        <w:pStyle w:val="FootnoteText"/>
        <w:spacing w:after="0" w:line="220" w:lineRule="exact"/>
        <w:rPr>
          <w:i w:val="0"/>
          <w:iCs/>
        </w:rPr>
      </w:pPr>
      <w:r w:rsidRPr="008A1EBE">
        <w:rPr>
          <w:rStyle w:val="FootnoteReference"/>
          <w:i w:val="0"/>
          <w:iCs/>
        </w:rPr>
        <w:footnoteRef/>
      </w:r>
      <w:r w:rsidRPr="008A1EBE">
        <w:rPr>
          <w:i w:val="0"/>
          <w:iCs/>
          <w:vertAlign w:val="superscript"/>
        </w:rPr>
        <w:t xml:space="preserve"> </w:t>
      </w:r>
      <w:r w:rsidRPr="000C541E">
        <w:rPr>
          <w:i w:val="0"/>
          <w:iCs/>
        </w:rPr>
        <w:t xml:space="preserve">Sousa et al., </w:t>
      </w:r>
      <w:r w:rsidRPr="008A1EBE">
        <w:t>supra</w:t>
      </w:r>
      <w:r w:rsidRPr="000C541E">
        <w:rPr>
          <w:i w:val="0"/>
          <w:iCs/>
        </w:rPr>
        <w:t xml:space="preserve"> note 1, at </w:t>
      </w:r>
      <w:r w:rsidR="00A91F86">
        <w:rPr>
          <w:i w:val="0"/>
          <w:iCs/>
        </w:rPr>
        <w:t>ix, vi</w:t>
      </w:r>
      <w:r w:rsidR="00721C3F" w:rsidRPr="000C541E">
        <w:rPr>
          <w:i w:val="0"/>
          <w:iCs/>
        </w:rPr>
        <w:t xml:space="preserve">; </w:t>
      </w:r>
      <w:r w:rsidR="00C552D6" w:rsidRPr="000C541E">
        <w:rPr>
          <w:i w:val="0"/>
          <w:iCs/>
        </w:rPr>
        <w:t xml:space="preserve">under </w:t>
      </w:r>
      <w:r w:rsidR="00AB5C23" w:rsidRPr="000C541E">
        <w:rPr>
          <w:i w:val="0"/>
          <w:iCs/>
        </w:rPr>
        <w:t>24 C.F.R. § 578.3</w:t>
      </w:r>
      <w:r w:rsidR="00C552D6" w:rsidRPr="000C541E">
        <w:rPr>
          <w:i w:val="0"/>
          <w:iCs/>
        </w:rPr>
        <w:t xml:space="preserve">, HUD </w:t>
      </w:r>
      <w:r w:rsidR="00721C3F" w:rsidRPr="000C541E">
        <w:rPr>
          <w:i w:val="0"/>
          <w:iCs/>
        </w:rPr>
        <w:t>defines</w:t>
      </w:r>
      <w:r w:rsidR="00FE7AB2" w:rsidRPr="000C541E">
        <w:rPr>
          <w:i w:val="0"/>
          <w:iCs/>
        </w:rPr>
        <w:t xml:space="preserve"> </w:t>
      </w:r>
      <w:r w:rsidR="009716FA" w:rsidRPr="000C541E">
        <w:rPr>
          <w:i w:val="0"/>
          <w:iCs/>
        </w:rPr>
        <w:t>an</w:t>
      </w:r>
      <w:r w:rsidR="00721C3F" w:rsidRPr="000C541E">
        <w:rPr>
          <w:i w:val="0"/>
          <w:iCs/>
        </w:rPr>
        <w:t xml:space="preserve"> “individual experiencing chronic homelessness” as a person “with a disability who has been continuously experiencing homelessness for one year or more or has experienced at least four episodes of homelessness in the last three years where the combined length of time experiencing homelessness on those occasions is at least 12 months.” </w:t>
      </w:r>
      <w:r w:rsidR="00FE7AB2" w:rsidRPr="000C541E">
        <w:rPr>
          <w:i w:val="0"/>
          <w:iCs/>
        </w:rPr>
        <w:t xml:space="preserve">HUD does not count people with disabilities separate from chronically homeless individuals, thus these numbers is an undercount of disabled people among unhoused communities. </w:t>
      </w:r>
    </w:p>
  </w:footnote>
  <w:footnote w:id="7">
    <w:p w14:paraId="67FAD6EE" w14:textId="0B55E1C8" w:rsidR="000F0A37" w:rsidRPr="000C541E" w:rsidRDefault="000F0A37" w:rsidP="00BE5D97">
      <w:pPr>
        <w:pStyle w:val="FootnoteText"/>
        <w:spacing w:after="0" w:line="220" w:lineRule="exact"/>
        <w:rPr>
          <w:i w:val="0"/>
          <w:iCs/>
        </w:rPr>
      </w:pPr>
      <w:r w:rsidRPr="008A1EBE">
        <w:rPr>
          <w:rStyle w:val="FootnoteReference"/>
          <w:i w:val="0"/>
          <w:iCs/>
        </w:rPr>
        <w:footnoteRef/>
      </w:r>
      <w:r w:rsidRPr="000C541E">
        <w:rPr>
          <w:i w:val="0"/>
          <w:iCs/>
        </w:rPr>
        <w:t xml:space="preserve"> </w:t>
      </w:r>
      <w:r w:rsidR="009125BE" w:rsidRPr="008A1EBE">
        <w:t>Id.</w:t>
      </w:r>
      <w:r w:rsidRPr="000C541E">
        <w:rPr>
          <w:i w:val="0"/>
          <w:iCs/>
        </w:rPr>
        <w:t xml:space="preserve"> at </w:t>
      </w:r>
      <w:r w:rsidR="00A91F86">
        <w:rPr>
          <w:i w:val="0"/>
          <w:iCs/>
        </w:rPr>
        <w:t>vi</w:t>
      </w:r>
      <w:r w:rsidRPr="000C541E">
        <w:rPr>
          <w:i w:val="0"/>
          <w:iCs/>
        </w:rPr>
        <w:t xml:space="preserve">. </w:t>
      </w:r>
    </w:p>
  </w:footnote>
  <w:footnote w:id="8">
    <w:p w14:paraId="240EE3B1" w14:textId="7E4890A1" w:rsidR="001A7723" w:rsidRPr="000C541E" w:rsidRDefault="001A7723" w:rsidP="00BE5D97">
      <w:pPr>
        <w:pStyle w:val="FootnoteText"/>
        <w:spacing w:after="0" w:line="220" w:lineRule="exact"/>
        <w:rPr>
          <w:i w:val="0"/>
          <w:iCs/>
        </w:rPr>
      </w:pPr>
      <w:r w:rsidRPr="008A1EBE">
        <w:rPr>
          <w:rStyle w:val="FootnoteReference"/>
          <w:i w:val="0"/>
          <w:iCs/>
        </w:rPr>
        <w:footnoteRef/>
      </w:r>
      <w:r w:rsidRPr="000C541E">
        <w:rPr>
          <w:i w:val="0"/>
          <w:iCs/>
        </w:rPr>
        <w:t xml:space="preserve"> </w:t>
      </w:r>
      <w:r w:rsidR="009125BE" w:rsidRPr="008A1EBE">
        <w:t>Id.</w:t>
      </w:r>
      <w:r w:rsidRPr="000C541E">
        <w:rPr>
          <w:i w:val="0"/>
          <w:iCs/>
        </w:rPr>
        <w:t xml:space="preserve"> at </w:t>
      </w:r>
      <w:r w:rsidR="00BC7DCB">
        <w:rPr>
          <w:i w:val="0"/>
          <w:iCs/>
        </w:rPr>
        <w:t>62-63</w:t>
      </w:r>
      <w:r w:rsidR="007927BB">
        <w:rPr>
          <w:i w:val="0"/>
          <w:iCs/>
        </w:rPr>
        <w:t xml:space="preserve">. Unsheltered refers to people living on the streets, in cars, parks, or other location that is not designated for living. Whereas “unhoused” includes unsheltered people and people living in shelters, transitional housing, etc. </w:t>
      </w:r>
    </w:p>
  </w:footnote>
  <w:footnote w:id="9">
    <w:p w14:paraId="53F43446" w14:textId="0DB40203" w:rsidR="00A702DA" w:rsidRPr="00AF6496" w:rsidRDefault="00A702DA" w:rsidP="00BE5D97">
      <w:pPr>
        <w:pStyle w:val="FootnoteText"/>
        <w:spacing w:after="0" w:line="220" w:lineRule="exact"/>
      </w:pPr>
      <w:r w:rsidRPr="000C541E">
        <w:rPr>
          <w:rStyle w:val="FootnoteReference"/>
          <w:i w:val="0"/>
          <w:iCs/>
        </w:rPr>
        <w:footnoteRef/>
      </w:r>
      <w:r w:rsidRPr="000C541E">
        <w:rPr>
          <w:i w:val="0"/>
          <w:iCs/>
        </w:rPr>
        <w:t xml:space="preserve"> </w:t>
      </w:r>
      <w:r w:rsidR="00FE636B" w:rsidRPr="000C541E">
        <w:rPr>
          <w:i w:val="0"/>
          <w:iCs/>
        </w:rPr>
        <w:t>Michael Brown &amp; Edward McCann, </w:t>
      </w:r>
      <w:r w:rsidR="00FE636B" w:rsidRPr="00F91174">
        <w:rPr>
          <w:i w:val="0"/>
          <w:iCs/>
          <w:u w:val="single"/>
        </w:rPr>
        <w:t>Homelessness and people with intellectual disabilities: A systematic review of the International Research Evidence</w:t>
      </w:r>
      <w:r w:rsidR="00FE636B" w:rsidRPr="000C541E">
        <w:rPr>
          <w:i w:val="0"/>
          <w:iCs/>
        </w:rPr>
        <w:t>, 34 Journal of Applied Research in Intellectual Disabilities 390–401 (2020).</w:t>
      </w:r>
      <w:r w:rsidR="00FE636B" w:rsidRPr="00AF6496">
        <w:t> </w:t>
      </w:r>
    </w:p>
  </w:footnote>
  <w:footnote w:id="10">
    <w:p w14:paraId="22473074" w14:textId="02AAD101" w:rsidR="00B17091" w:rsidRPr="000C541E" w:rsidRDefault="00B17091" w:rsidP="00BE5D97">
      <w:pPr>
        <w:pStyle w:val="FootnoteText"/>
        <w:spacing w:after="0" w:line="220" w:lineRule="exact"/>
        <w:rPr>
          <w:i w:val="0"/>
          <w:iCs/>
        </w:rPr>
      </w:pPr>
      <w:r w:rsidRPr="000C541E">
        <w:rPr>
          <w:rStyle w:val="FootnoteReference"/>
          <w:i w:val="0"/>
          <w:iCs/>
        </w:rPr>
        <w:footnoteRef/>
      </w:r>
      <w:r w:rsidRPr="000C541E">
        <w:rPr>
          <w:i w:val="0"/>
          <w:iCs/>
        </w:rPr>
        <w:t xml:space="preserve"> Emily A. Shrider, </w:t>
      </w:r>
      <w:r w:rsidRPr="000C541E">
        <w:rPr>
          <w:i w:val="0"/>
          <w:iCs/>
          <w:u w:val="single"/>
        </w:rPr>
        <w:t>Poverty in the United States</w:t>
      </w:r>
      <w:r w:rsidRPr="000C541E">
        <w:rPr>
          <w:i w:val="0"/>
          <w:iCs/>
        </w:rPr>
        <w:t>, U.S. Census Bureau (2023), https://www2.census.gov/library/publications/2024/demo/p60-283.pdf (table A-1).</w:t>
      </w:r>
    </w:p>
  </w:footnote>
  <w:footnote w:id="11">
    <w:p w14:paraId="201A90EF" w14:textId="77777777" w:rsidR="00B17091" w:rsidRPr="000C541E" w:rsidRDefault="00B17091" w:rsidP="00BE5D97">
      <w:pPr>
        <w:pStyle w:val="FootnoteText"/>
        <w:spacing w:after="0" w:line="220" w:lineRule="exact"/>
        <w:rPr>
          <w:i w:val="0"/>
          <w:iCs/>
        </w:rPr>
      </w:pPr>
      <w:r w:rsidRPr="000C541E">
        <w:rPr>
          <w:rStyle w:val="FootnoteReference"/>
          <w:i w:val="0"/>
          <w:iCs/>
        </w:rPr>
        <w:footnoteRef/>
      </w:r>
      <w:r w:rsidRPr="000C541E">
        <w:rPr>
          <w:i w:val="0"/>
          <w:iCs/>
        </w:rPr>
        <w:t xml:space="preserve"> Tech. Assistance Collaborative, </w:t>
      </w:r>
      <w:r w:rsidRPr="000C541E">
        <w:rPr>
          <w:i w:val="0"/>
          <w:iCs/>
          <w:u w:val="single"/>
        </w:rPr>
        <w:t>Priced Out: The Housing Crisis for People with Disabilities</w:t>
      </w:r>
      <w:r w:rsidRPr="000C541E">
        <w:rPr>
          <w:i w:val="0"/>
          <w:iCs/>
        </w:rPr>
        <w:t>, https://www.tacinc.org/resources/priced-out/ (last visited Sept.17, 2024).</w:t>
      </w:r>
    </w:p>
  </w:footnote>
  <w:footnote w:id="12">
    <w:p w14:paraId="06A17791" w14:textId="09D8E7CD" w:rsidR="00642FB6" w:rsidRPr="000C541E" w:rsidRDefault="00642FB6"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Pr="008A1EBE">
        <w:t>Id.</w:t>
      </w:r>
      <w:r w:rsidRPr="000C541E">
        <w:rPr>
          <w:i w:val="0"/>
          <w:iCs/>
        </w:rPr>
        <w:t xml:space="preserve"> </w:t>
      </w:r>
    </w:p>
  </w:footnote>
  <w:footnote w:id="13">
    <w:p w14:paraId="3636DC8B" w14:textId="0BA2945A" w:rsidR="00B17091" w:rsidRPr="000C541E" w:rsidRDefault="00B17091" w:rsidP="00BE5D97">
      <w:pPr>
        <w:spacing w:before="0" w:after="0" w:line="220" w:lineRule="exact"/>
        <w:rPr>
          <w:iCs/>
          <w:sz w:val="22"/>
          <w:szCs w:val="22"/>
        </w:rPr>
      </w:pPr>
      <w:r w:rsidRPr="000C541E">
        <w:rPr>
          <w:rStyle w:val="FootnoteReference"/>
          <w:rFonts w:eastAsiaTheme="majorEastAsia"/>
          <w:iCs/>
          <w:sz w:val="22"/>
          <w:szCs w:val="22"/>
        </w:rPr>
        <w:footnoteRef/>
      </w:r>
      <w:r w:rsidRPr="000C541E">
        <w:rPr>
          <w:iCs/>
          <w:sz w:val="22"/>
          <w:szCs w:val="22"/>
        </w:rPr>
        <w:t xml:space="preserve"> </w:t>
      </w:r>
      <w:proofErr w:type="gramStart"/>
      <w:r w:rsidRPr="008A1EBE">
        <w:rPr>
          <w:i/>
          <w:sz w:val="22"/>
          <w:szCs w:val="22"/>
        </w:rPr>
        <w:t>Id.</w:t>
      </w:r>
      <w:r w:rsidRPr="000C541E">
        <w:rPr>
          <w:iCs/>
          <w:sz w:val="22"/>
          <w:szCs w:val="22"/>
        </w:rPr>
        <w:t>;</w:t>
      </w:r>
      <w:proofErr w:type="gramEnd"/>
      <w:r w:rsidRPr="000C541E">
        <w:rPr>
          <w:iCs/>
          <w:sz w:val="22"/>
          <w:szCs w:val="22"/>
        </w:rPr>
        <w:t xml:space="preserve"> Soc. Sec. Admin., </w:t>
      </w:r>
      <w:r w:rsidRPr="000C541E">
        <w:rPr>
          <w:iCs/>
          <w:sz w:val="22"/>
          <w:szCs w:val="22"/>
          <w:u w:val="single"/>
        </w:rPr>
        <w:t>How Much You Could Get From SSI</w:t>
      </w:r>
      <w:r w:rsidRPr="000C541E">
        <w:rPr>
          <w:iCs/>
          <w:color w:val="000000"/>
          <w:sz w:val="22"/>
          <w:szCs w:val="22"/>
          <w:u w:val="single"/>
        </w:rPr>
        <w:t>,</w:t>
      </w:r>
      <w:r w:rsidRPr="000C541E">
        <w:rPr>
          <w:iCs/>
          <w:color w:val="000000"/>
          <w:sz w:val="22"/>
          <w:szCs w:val="22"/>
        </w:rPr>
        <w:t xml:space="preserve"> </w:t>
      </w:r>
      <w:r w:rsidRPr="000C541E">
        <w:rPr>
          <w:iCs/>
          <w:sz w:val="22"/>
          <w:szCs w:val="22"/>
        </w:rPr>
        <w:t>https://www.ssa.gov/ssi/amount (last visited Nov. 6, 2024). Even if you include the California supplement ($239.94) in the calculations, the average rent for a basic 1-bedroom would still exceed an individual’s monthly benefit amount (constituting 118% of the individual’s monthly income).</w:t>
      </w:r>
    </w:p>
  </w:footnote>
  <w:footnote w:id="14">
    <w:p w14:paraId="10A45541" w14:textId="77777777" w:rsidR="00EE7D19" w:rsidRPr="000C541E" w:rsidRDefault="00EE7D19" w:rsidP="00BE5D97">
      <w:pPr>
        <w:pStyle w:val="FootnoteText"/>
        <w:spacing w:after="0" w:line="220" w:lineRule="exact"/>
        <w:rPr>
          <w:i w:val="0"/>
          <w:iCs/>
        </w:rPr>
      </w:pPr>
      <w:r w:rsidRPr="000C541E">
        <w:rPr>
          <w:rStyle w:val="FootnoteReference"/>
          <w:i w:val="0"/>
          <w:iCs/>
        </w:rPr>
        <w:footnoteRef/>
      </w:r>
      <w:r w:rsidRPr="000C541E">
        <w:rPr>
          <w:i w:val="0"/>
          <w:iCs/>
        </w:rPr>
        <w:t xml:space="preserve"> Kathryn A. Henderson et al., </w:t>
      </w:r>
      <w:r w:rsidRPr="000C541E">
        <w:rPr>
          <w:i w:val="0"/>
          <w:iCs/>
          <w:u w:val="single"/>
        </w:rPr>
        <w:t>Addressing Homelessness Among Older Adults: Final Report,</w:t>
      </w:r>
      <w:r w:rsidRPr="000C541E">
        <w:rPr>
          <w:i w:val="0"/>
          <w:iCs/>
        </w:rPr>
        <w:t xml:space="preserve"> </w:t>
      </w:r>
      <w:proofErr w:type="gramStart"/>
      <w:r w:rsidRPr="000C541E">
        <w:rPr>
          <w:i w:val="0"/>
          <w:iCs/>
        </w:rPr>
        <w:t>Off</w:t>
      </w:r>
      <w:proofErr w:type="gramEnd"/>
      <w:r w:rsidRPr="000C541E">
        <w:rPr>
          <w:i w:val="0"/>
          <w:iCs/>
        </w:rPr>
        <w:t xml:space="preserve">. of the Assistant </w:t>
      </w:r>
      <w:proofErr w:type="gramStart"/>
      <w:r w:rsidRPr="000C541E">
        <w:rPr>
          <w:i w:val="0"/>
          <w:iCs/>
        </w:rPr>
        <w:t>Sec‘</w:t>
      </w:r>
      <w:proofErr w:type="gramEnd"/>
      <w:r w:rsidRPr="000C541E">
        <w:rPr>
          <w:i w:val="0"/>
          <w:iCs/>
        </w:rPr>
        <w:t>y for Plan. and Educ. 4 (Oct. 26, 2023).</w:t>
      </w:r>
    </w:p>
  </w:footnote>
  <w:footnote w:id="15">
    <w:p w14:paraId="022E5135" w14:textId="424AAE8D" w:rsidR="009A41FF" w:rsidRPr="000C541E" w:rsidRDefault="009A41FF" w:rsidP="00BE5D97">
      <w:pPr>
        <w:pStyle w:val="FootnoteText"/>
        <w:spacing w:after="0" w:line="220" w:lineRule="exact"/>
        <w:rPr>
          <w:i w:val="0"/>
          <w:iCs/>
        </w:rPr>
      </w:pPr>
      <w:r w:rsidRPr="000C541E">
        <w:rPr>
          <w:rStyle w:val="FootnoteReference"/>
          <w:i w:val="0"/>
          <w:iCs/>
        </w:rPr>
        <w:footnoteRef/>
      </w:r>
      <w:r w:rsidRPr="000C541E">
        <w:rPr>
          <w:i w:val="0"/>
          <w:iCs/>
        </w:rPr>
        <w:t xml:space="preserve"> Michael Brown</w:t>
      </w:r>
      <w:r w:rsidR="00182A88" w:rsidRPr="000C541E">
        <w:rPr>
          <w:i w:val="0"/>
          <w:iCs/>
        </w:rPr>
        <w:t xml:space="preserve">, </w:t>
      </w:r>
      <w:r w:rsidR="00182A88" w:rsidRPr="008A1EBE">
        <w:t>supra</w:t>
      </w:r>
      <w:r w:rsidR="00182A88" w:rsidRPr="000C541E">
        <w:rPr>
          <w:i w:val="0"/>
          <w:iCs/>
        </w:rPr>
        <w:t xml:space="preserve"> note 9</w:t>
      </w:r>
      <w:r w:rsidR="00D72E41" w:rsidRPr="000C541E">
        <w:rPr>
          <w:i w:val="0"/>
          <w:iCs/>
        </w:rPr>
        <w:t>,</w:t>
      </w:r>
      <w:r w:rsidR="00182A88" w:rsidRPr="000C541E">
        <w:rPr>
          <w:i w:val="0"/>
          <w:iCs/>
        </w:rPr>
        <w:t xml:space="preserve"> at </w:t>
      </w:r>
      <w:r w:rsidRPr="000C541E">
        <w:rPr>
          <w:i w:val="0"/>
          <w:iCs/>
        </w:rPr>
        <w:t>390–40.</w:t>
      </w:r>
    </w:p>
  </w:footnote>
  <w:footnote w:id="16">
    <w:p w14:paraId="56C1429F" w14:textId="41375FC7" w:rsidR="009A41FF" w:rsidRPr="00AF6496" w:rsidRDefault="009A41FF" w:rsidP="00BE5D97">
      <w:pPr>
        <w:pStyle w:val="FootnoteText"/>
        <w:spacing w:after="0" w:line="220" w:lineRule="exact"/>
        <w:rPr>
          <w:highlight w:val="yellow"/>
        </w:rPr>
      </w:pPr>
      <w:r w:rsidRPr="000C541E">
        <w:rPr>
          <w:rStyle w:val="FootnoteReference"/>
          <w:i w:val="0"/>
          <w:iCs/>
        </w:rPr>
        <w:footnoteRef/>
      </w:r>
      <w:r w:rsidRPr="000C541E">
        <w:rPr>
          <w:i w:val="0"/>
          <w:iCs/>
        </w:rPr>
        <w:t xml:space="preserve"> </w:t>
      </w:r>
      <w:r w:rsidR="00EE7D19" w:rsidRPr="000C541E">
        <w:rPr>
          <w:i w:val="0"/>
          <w:iCs/>
        </w:rPr>
        <w:t>Henderson</w:t>
      </w:r>
      <w:r w:rsidR="00D72E41" w:rsidRPr="000C541E">
        <w:rPr>
          <w:i w:val="0"/>
          <w:iCs/>
        </w:rPr>
        <w:t xml:space="preserve">, </w:t>
      </w:r>
      <w:r w:rsidR="00D72E41" w:rsidRPr="002F6294">
        <w:t>supra</w:t>
      </w:r>
      <w:r w:rsidR="00D72E41" w:rsidRPr="000C541E">
        <w:rPr>
          <w:i w:val="0"/>
          <w:iCs/>
        </w:rPr>
        <w:t xml:space="preserve"> note</w:t>
      </w:r>
      <w:r w:rsidR="005F47F3" w:rsidRPr="000C541E">
        <w:rPr>
          <w:i w:val="0"/>
          <w:iCs/>
        </w:rPr>
        <w:t xml:space="preserve"> 14</w:t>
      </w:r>
      <w:r w:rsidR="00BD5BED" w:rsidRPr="000C541E">
        <w:rPr>
          <w:i w:val="0"/>
          <w:iCs/>
        </w:rPr>
        <w:t>,</w:t>
      </w:r>
      <w:r w:rsidRPr="000C541E">
        <w:rPr>
          <w:i w:val="0"/>
          <w:iCs/>
        </w:rPr>
        <w:t xml:space="preserve"> at 5–6</w:t>
      </w:r>
      <w:r w:rsidR="35B643A2" w:rsidRPr="000C541E">
        <w:rPr>
          <w:i w:val="0"/>
          <w:iCs/>
        </w:rPr>
        <w:t>.</w:t>
      </w:r>
    </w:p>
  </w:footnote>
  <w:footnote w:id="17">
    <w:p w14:paraId="0581A8A0" w14:textId="64AC3710" w:rsidR="00EE7D19" w:rsidRPr="000C541E" w:rsidRDefault="00EE7D19"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00CB454F" w:rsidRPr="002F6294">
        <w:t>Id.</w:t>
      </w:r>
    </w:p>
  </w:footnote>
  <w:footnote w:id="18">
    <w:p w14:paraId="3E985499" w14:textId="1B951445" w:rsidR="009A41FF" w:rsidRPr="000C541E" w:rsidRDefault="009A41FF"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00CB454F" w:rsidRPr="000C541E">
        <w:rPr>
          <w:i w:val="0"/>
          <w:iCs/>
        </w:rPr>
        <w:t xml:space="preserve">Henderson, </w:t>
      </w:r>
      <w:r w:rsidR="00CB454F" w:rsidRPr="002F6294">
        <w:t>supra</w:t>
      </w:r>
      <w:r w:rsidR="00CB454F" w:rsidRPr="000C541E">
        <w:rPr>
          <w:i w:val="0"/>
          <w:iCs/>
        </w:rPr>
        <w:t xml:space="preserve"> note </w:t>
      </w:r>
      <w:r w:rsidR="00BD5BED" w:rsidRPr="000C541E">
        <w:rPr>
          <w:i w:val="0"/>
          <w:iCs/>
        </w:rPr>
        <w:t xml:space="preserve">14, </w:t>
      </w:r>
      <w:r w:rsidR="00CB454F" w:rsidRPr="000C541E">
        <w:rPr>
          <w:i w:val="0"/>
          <w:iCs/>
        </w:rPr>
        <w:t>at 6.</w:t>
      </w:r>
    </w:p>
  </w:footnote>
  <w:footnote w:id="19">
    <w:p w14:paraId="1033742B" w14:textId="2A9DAA4C" w:rsidR="009A41FF" w:rsidRPr="000C541E" w:rsidRDefault="009A41FF"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00C05C3F" w:rsidRPr="000C541E">
        <w:rPr>
          <w:rFonts w:eastAsia="Times New Roman"/>
          <w:i w:val="0"/>
          <w:iCs/>
        </w:rPr>
        <w:t xml:space="preserve">Henderson, </w:t>
      </w:r>
      <w:r w:rsidR="00C05C3F" w:rsidRPr="002F6294">
        <w:rPr>
          <w:rFonts w:eastAsia="Times New Roman"/>
        </w:rPr>
        <w:t>supra</w:t>
      </w:r>
      <w:r w:rsidR="00C05C3F" w:rsidRPr="000C541E">
        <w:rPr>
          <w:rFonts w:eastAsia="Times New Roman"/>
          <w:i w:val="0"/>
          <w:iCs/>
        </w:rPr>
        <w:t xml:space="preserve"> note 14</w:t>
      </w:r>
      <w:r w:rsidR="00BD5BED" w:rsidRPr="000C541E">
        <w:rPr>
          <w:rFonts w:eastAsia="Times New Roman"/>
          <w:i w:val="0"/>
          <w:iCs/>
        </w:rPr>
        <w:t>,</w:t>
      </w:r>
      <w:r w:rsidR="00C05C3F" w:rsidRPr="000C541E">
        <w:rPr>
          <w:rFonts w:eastAsia="Times New Roman"/>
          <w:i w:val="0"/>
          <w:iCs/>
        </w:rPr>
        <w:t xml:space="preserve"> </w:t>
      </w:r>
      <w:r w:rsidRPr="000C541E">
        <w:rPr>
          <w:i w:val="0"/>
          <w:iCs/>
        </w:rPr>
        <w:t xml:space="preserve">at 4 (citing </w:t>
      </w:r>
      <w:r w:rsidRPr="00A40557">
        <w:t>Dennis Culhane et al.</w:t>
      </w:r>
      <w:r w:rsidRPr="000C541E">
        <w:rPr>
          <w:i w:val="0"/>
          <w:iCs/>
        </w:rPr>
        <w:t xml:space="preserve">, </w:t>
      </w:r>
      <w:r w:rsidRPr="000C541E">
        <w:rPr>
          <w:i w:val="0"/>
          <w:iCs/>
          <w:u w:val="single"/>
        </w:rPr>
        <w:t>The Emerging Crisis of Aged Homelessness</w:t>
      </w:r>
      <w:r w:rsidR="00EE7D19" w:rsidRPr="000C541E">
        <w:rPr>
          <w:i w:val="0"/>
          <w:iCs/>
          <w:u w:val="single"/>
        </w:rPr>
        <w:t>,</w:t>
      </w:r>
      <w:r w:rsidRPr="000C541E">
        <w:rPr>
          <w:i w:val="0"/>
          <w:iCs/>
        </w:rPr>
        <w:t xml:space="preserve"> 2–5 (2019), https://aisp.upenn.edu/wp-content/uploads/2019/01/Emerging-Crisis-of-Aged-Homelessness-1.pdf.</w:t>
      </w:r>
    </w:p>
  </w:footnote>
  <w:footnote w:id="20">
    <w:p w14:paraId="1597EFA5" w14:textId="263AE6CC" w:rsidR="00645F60" w:rsidRPr="000C541E" w:rsidRDefault="00645F60" w:rsidP="00BE5D97">
      <w:pPr>
        <w:pStyle w:val="FootnoteText"/>
        <w:spacing w:after="0" w:line="220" w:lineRule="exact"/>
        <w:rPr>
          <w:i w:val="0"/>
          <w:iCs/>
        </w:rPr>
      </w:pPr>
      <w:r w:rsidRPr="000C541E">
        <w:rPr>
          <w:rStyle w:val="FootnoteReference"/>
          <w:i w:val="0"/>
          <w:iCs/>
        </w:rPr>
        <w:footnoteRef/>
      </w:r>
      <w:r w:rsidR="35B643A2" w:rsidRPr="000C541E">
        <w:rPr>
          <w:rStyle w:val="FootnoteReference"/>
          <w:i w:val="0"/>
          <w:iCs/>
        </w:rPr>
        <w:t xml:space="preserve"> </w:t>
      </w:r>
      <w:proofErr w:type="spellStart"/>
      <w:r w:rsidRPr="000C541E">
        <w:rPr>
          <w:i w:val="0"/>
          <w:iCs/>
        </w:rPr>
        <w:t>Lilanthi</w:t>
      </w:r>
      <w:proofErr w:type="spellEnd"/>
      <w:r w:rsidRPr="000C541E">
        <w:rPr>
          <w:i w:val="0"/>
          <w:iCs/>
        </w:rPr>
        <w:t xml:space="preserve"> </w:t>
      </w:r>
      <w:proofErr w:type="spellStart"/>
      <w:r w:rsidRPr="000C541E">
        <w:rPr>
          <w:i w:val="0"/>
          <w:iCs/>
        </w:rPr>
        <w:t>Balasuriya</w:t>
      </w:r>
      <w:proofErr w:type="spellEnd"/>
      <w:r w:rsidRPr="000C541E">
        <w:rPr>
          <w:i w:val="0"/>
          <w:iCs/>
        </w:rPr>
        <w:t xml:space="preserve"> et al., </w:t>
      </w:r>
      <w:r w:rsidRPr="00F91174">
        <w:rPr>
          <w:i w:val="0"/>
          <w:iCs/>
          <w:u w:val="single"/>
        </w:rPr>
        <w:t>The Never-Ending Loop: Homelessness, Psychiatric Disorder, and Mortality</w:t>
      </w:r>
      <w:r w:rsidRPr="000C541E">
        <w:rPr>
          <w:i w:val="0"/>
          <w:iCs/>
        </w:rPr>
        <w:t>, 37 Psychiatric Times 12, 12 (2020).</w:t>
      </w:r>
    </w:p>
  </w:footnote>
  <w:footnote w:id="21">
    <w:p w14:paraId="4DD7AF7E" w14:textId="0295B3E1" w:rsidR="00645F60" w:rsidRPr="000C541E" w:rsidRDefault="00645F60" w:rsidP="00BE5D97">
      <w:pPr>
        <w:pStyle w:val="FootnoteText"/>
        <w:spacing w:after="0" w:line="220" w:lineRule="exact"/>
        <w:rPr>
          <w:i w:val="0"/>
          <w:iCs/>
        </w:rPr>
      </w:pPr>
      <w:r w:rsidRPr="000C541E">
        <w:rPr>
          <w:rStyle w:val="FootnoteReference"/>
          <w:i w:val="0"/>
          <w:iCs/>
        </w:rPr>
        <w:footnoteRef/>
      </w:r>
      <w:r w:rsidRPr="000C541E">
        <w:rPr>
          <w:i w:val="0"/>
          <w:iCs/>
        </w:rPr>
        <w:t xml:space="preserve"> Ashley C. Bradford &amp; Johanna Catherine Maclean, </w:t>
      </w:r>
      <w:r w:rsidRPr="000C541E">
        <w:rPr>
          <w:i w:val="0"/>
          <w:iCs/>
          <w:u w:val="single"/>
        </w:rPr>
        <w:t>Evictions and Psychiatric Treatment</w:t>
      </w:r>
      <w:r w:rsidRPr="000C541E">
        <w:rPr>
          <w:i w:val="0"/>
          <w:iCs/>
        </w:rPr>
        <w:t>, J. Pol. Analysis &amp; Mgmt. 5 (2024).</w:t>
      </w:r>
    </w:p>
  </w:footnote>
  <w:footnote w:id="22">
    <w:p w14:paraId="2F19864F" w14:textId="2AE39F7E" w:rsidR="00645F60" w:rsidRPr="000C541E" w:rsidRDefault="00645F60"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Pr="002F6294">
        <w:rPr>
          <w:rFonts w:eastAsia="Times New Roman"/>
        </w:rPr>
        <w:t>Id.</w:t>
      </w:r>
    </w:p>
  </w:footnote>
  <w:footnote w:id="23">
    <w:p w14:paraId="4AD2F56E" w14:textId="27EA39E0" w:rsidR="00645F60" w:rsidRPr="000C541E" w:rsidRDefault="00645F60"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Pr="002F6294">
        <w:t>Id.</w:t>
      </w:r>
      <w:r w:rsidRPr="000C541E">
        <w:rPr>
          <w:i w:val="0"/>
          <w:iCs/>
        </w:rPr>
        <w:t xml:space="preserve"> at 6.</w:t>
      </w:r>
    </w:p>
  </w:footnote>
  <w:footnote w:id="24">
    <w:p w14:paraId="6C4E2FB7" w14:textId="247F58A9" w:rsidR="00FB3980" w:rsidRPr="00AF6496" w:rsidRDefault="00FB3980" w:rsidP="00BE5D97">
      <w:pPr>
        <w:pStyle w:val="FootnoteText"/>
        <w:spacing w:after="0" w:line="220" w:lineRule="exact"/>
      </w:pPr>
      <w:r w:rsidRPr="000C541E">
        <w:rPr>
          <w:rStyle w:val="FootnoteReference"/>
          <w:i w:val="0"/>
          <w:iCs/>
        </w:rPr>
        <w:footnoteRef/>
      </w:r>
      <w:r w:rsidRPr="000C541E">
        <w:rPr>
          <w:i w:val="0"/>
          <w:iCs/>
        </w:rPr>
        <w:t xml:space="preserve"> Gregg Colburn &amp; Clayton Page </w:t>
      </w:r>
      <w:proofErr w:type="spellStart"/>
      <w:r w:rsidRPr="000C541E">
        <w:rPr>
          <w:i w:val="0"/>
          <w:iCs/>
        </w:rPr>
        <w:t>Aldern</w:t>
      </w:r>
      <w:proofErr w:type="spellEnd"/>
      <w:r w:rsidRPr="000C541E">
        <w:rPr>
          <w:i w:val="0"/>
          <w:iCs/>
        </w:rPr>
        <w:t xml:space="preserve">, </w:t>
      </w:r>
      <w:r w:rsidRPr="000C541E">
        <w:rPr>
          <w:i w:val="0"/>
          <w:iCs/>
          <w:u w:val="single"/>
        </w:rPr>
        <w:t>Homelessness is a Housing Problem</w:t>
      </w:r>
      <w:r w:rsidRPr="000C541E">
        <w:rPr>
          <w:i w:val="0"/>
          <w:iCs/>
        </w:rPr>
        <w:t>, University of California Press (Mar. 15, 2022).</w:t>
      </w:r>
    </w:p>
  </w:footnote>
  <w:footnote w:id="25">
    <w:p w14:paraId="7B8760F8" w14:textId="5CACC66B" w:rsidR="00E95E68" w:rsidRPr="002F6294" w:rsidRDefault="00E95E68" w:rsidP="00BE5D97">
      <w:pPr>
        <w:pStyle w:val="FootnoteText"/>
        <w:spacing w:after="0" w:line="220" w:lineRule="exact"/>
        <w:rPr>
          <w:i w:val="0"/>
          <w:iCs/>
        </w:rPr>
      </w:pPr>
      <w:r w:rsidRPr="002F6294">
        <w:rPr>
          <w:rStyle w:val="FootnoteReference"/>
          <w:i w:val="0"/>
          <w:iCs/>
        </w:rPr>
        <w:footnoteRef/>
      </w:r>
      <w:r w:rsidRPr="002F6294">
        <w:rPr>
          <w:i w:val="0"/>
          <w:iCs/>
        </w:rPr>
        <w:t xml:space="preserve"> </w:t>
      </w:r>
      <w:r w:rsidR="00BA4C4D" w:rsidRPr="002F6294">
        <w:t>Id.</w:t>
      </w:r>
      <w:r w:rsidRPr="002F6294">
        <w:rPr>
          <w:i w:val="0"/>
          <w:iCs/>
        </w:rPr>
        <w:t xml:space="preserve"> </w:t>
      </w:r>
      <w:r w:rsidR="00FB3980" w:rsidRPr="002F6294">
        <w:rPr>
          <w:i w:val="0"/>
          <w:iCs/>
        </w:rPr>
        <w:t xml:space="preserve"> </w:t>
      </w:r>
    </w:p>
  </w:footnote>
  <w:footnote w:id="26">
    <w:p w14:paraId="3099E57E" w14:textId="77777777" w:rsidR="00821624" w:rsidRPr="002F6294" w:rsidRDefault="00821624" w:rsidP="00BE5D97">
      <w:pPr>
        <w:pStyle w:val="FootnoteText"/>
        <w:spacing w:after="0" w:line="220" w:lineRule="exact"/>
        <w:rPr>
          <w:i w:val="0"/>
          <w:iCs/>
        </w:rPr>
      </w:pPr>
      <w:r w:rsidRPr="002F6294">
        <w:rPr>
          <w:rStyle w:val="FootnoteReference"/>
          <w:i w:val="0"/>
          <w:iCs/>
        </w:rPr>
        <w:footnoteRef/>
      </w:r>
      <w:r w:rsidRPr="002F6294">
        <w:rPr>
          <w:i w:val="0"/>
          <w:iCs/>
        </w:rPr>
        <w:t xml:space="preserve"> </w:t>
      </w:r>
      <w:r w:rsidRPr="002F6294">
        <w:t>Johnson v. City of Grants Pass</w:t>
      </w:r>
      <w:r w:rsidRPr="002F6294">
        <w:rPr>
          <w:i w:val="0"/>
          <w:iCs/>
        </w:rPr>
        <w:t xml:space="preserve">, 72 F.4th 868 (9th Cir. 2023) (overturned by </w:t>
      </w:r>
      <w:r w:rsidRPr="002F6294">
        <w:t>City of Grants Pass, Oregon v. Johnson</w:t>
      </w:r>
      <w:r w:rsidRPr="002F6294">
        <w:rPr>
          <w:i w:val="0"/>
          <w:iCs/>
        </w:rPr>
        <w:t xml:space="preserve">, 144 S. Ct. 2202 (2024)); see also </w:t>
      </w:r>
      <w:r w:rsidRPr="002F6294">
        <w:t>Martin v. City of Boise</w:t>
      </w:r>
      <w:r w:rsidRPr="002F6294">
        <w:rPr>
          <w:i w:val="0"/>
          <w:iCs/>
        </w:rPr>
        <w:t xml:space="preserve">, 920 F.3d 584 (9th Cir. 2019) (overruled in part by </w:t>
      </w:r>
      <w:r w:rsidRPr="002F6294">
        <w:t>City of Grants Pass, Oregon v. Johnson</w:t>
      </w:r>
      <w:r w:rsidRPr="002F6294">
        <w:rPr>
          <w:i w:val="0"/>
          <w:iCs/>
        </w:rPr>
        <w:t>, 144 S. Ct. 2202 (2024)).</w:t>
      </w:r>
    </w:p>
  </w:footnote>
  <w:footnote w:id="27">
    <w:p w14:paraId="1B05F05D" w14:textId="59B4050C" w:rsidR="00821624" w:rsidRPr="00AF6496" w:rsidRDefault="00821624" w:rsidP="00BE5D97">
      <w:pPr>
        <w:pStyle w:val="FootnoteText"/>
        <w:spacing w:after="0" w:line="220" w:lineRule="exact"/>
        <w:rPr>
          <w:iCs/>
        </w:rPr>
      </w:pPr>
      <w:r w:rsidRPr="002F6294">
        <w:rPr>
          <w:rStyle w:val="FootnoteReference"/>
          <w:i w:val="0"/>
          <w:iCs/>
        </w:rPr>
        <w:footnoteRef/>
      </w:r>
      <w:r w:rsidRPr="002F6294">
        <w:rPr>
          <w:i w:val="0"/>
          <w:iCs/>
        </w:rPr>
        <w:t xml:space="preserve"> </w:t>
      </w:r>
      <w:r w:rsidR="00B317F8" w:rsidRPr="002F6294">
        <w:t>Grants Pass</w:t>
      </w:r>
      <w:r w:rsidRPr="002F6294">
        <w:rPr>
          <w:i w:val="0"/>
          <w:iCs/>
        </w:rPr>
        <w:t>, 144 S. Ct. 2202.</w:t>
      </w:r>
    </w:p>
  </w:footnote>
  <w:footnote w:id="28">
    <w:p w14:paraId="50236BE8" w14:textId="44C49845" w:rsidR="00B317F8" w:rsidRPr="000C541E" w:rsidRDefault="00B317F8" w:rsidP="00BE5D97">
      <w:pPr>
        <w:pStyle w:val="FootnoteText"/>
        <w:spacing w:after="0" w:line="220" w:lineRule="exact"/>
        <w:rPr>
          <w:i w:val="0"/>
          <w:iCs/>
        </w:rPr>
      </w:pPr>
      <w:r w:rsidRPr="000C541E">
        <w:rPr>
          <w:rStyle w:val="FootnoteReference"/>
          <w:i w:val="0"/>
          <w:iCs/>
        </w:rPr>
        <w:footnoteRef/>
      </w:r>
      <w:r w:rsidRPr="000C541E">
        <w:rPr>
          <w:i w:val="0"/>
          <w:iCs/>
        </w:rPr>
        <w:t xml:space="preserve"> Marisa Kendall, </w:t>
      </w:r>
      <w:r w:rsidRPr="000C541E">
        <w:rPr>
          <w:i w:val="0"/>
          <w:iCs/>
          <w:u w:val="single"/>
        </w:rPr>
        <w:t>No Sleeping Bag, Keep Moving: California Cities Increase Crackdown on Homeless Encampments</w:t>
      </w:r>
      <w:r w:rsidRPr="000C541E">
        <w:rPr>
          <w:i w:val="0"/>
          <w:iCs/>
        </w:rPr>
        <w:t xml:space="preserve">, Cal Matters, September 12, </w:t>
      </w:r>
      <w:proofErr w:type="gramStart"/>
      <w:r w:rsidRPr="000C541E">
        <w:rPr>
          <w:i w:val="0"/>
          <w:iCs/>
        </w:rPr>
        <w:t>2024</w:t>
      </w:r>
      <w:proofErr w:type="gramEnd"/>
      <w:r w:rsidRPr="000C541E">
        <w:rPr>
          <w:i w:val="0"/>
          <w:iCs/>
        </w:rPr>
        <w:t xml:space="preserve"> https://calmatters.org/housing/homelessness/2024/09/camping-ban-ordinances/#:~:text=More%20than%20two%2Ddozen%20California,issues%20that%20affect%20all%20Californians.</w:t>
      </w:r>
    </w:p>
  </w:footnote>
  <w:footnote w:id="29">
    <w:p w14:paraId="4DE2CE3D" w14:textId="77777777" w:rsidR="00821624" w:rsidRPr="000C541E" w:rsidRDefault="00821624" w:rsidP="00BE5D97">
      <w:pPr>
        <w:pStyle w:val="FootnoteText"/>
        <w:spacing w:after="0" w:line="220" w:lineRule="exact"/>
        <w:rPr>
          <w:i w:val="0"/>
          <w:iCs/>
        </w:rPr>
      </w:pPr>
      <w:r w:rsidRPr="000C541E">
        <w:rPr>
          <w:rStyle w:val="FootnoteReference"/>
          <w:i w:val="0"/>
          <w:iCs/>
        </w:rPr>
        <w:footnoteRef/>
      </w:r>
      <w:r w:rsidRPr="000C541E">
        <w:rPr>
          <w:i w:val="0"/>
          <w:iCs/>
        </w:rPr>
        <w:t xml:space="preserve"> Exec. Order N-1-24 (July 25, 2024), https://www.gov.ca.gov/wp-content/uploads/2024/07/2024-Encampments-EO-7-24.pdf.</w:t>
      </w:r>
    </w:p>
  </w:footnote>
  <w:footnote w:id="30">
    <w:p w14:paraId="0967EA0E" w14:textId="128A8AF4" w:rsidR="0022012E" w:rsidRPr="000C541E" w:rsidRDefault="0022012E"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007363F8" w:rsidRPr="000C541E">
        <w:rPr>
          <w:i w:val="0"/>
          <w:iCs/>
          <w:smallCaps/>
        </w:rPr>
        <w:t>San Joaquin County, Cal</w:t>
      </w:r>
      <w:r w:rsidR="00E41500" w:rsidRPr="000C541E">
        <w:rPr>
          <w:i w:val="0"/>
          <w:iCs/>
          <w:smallCaps/>
        </w:rPr>
        <w:t xml:space="preserve">., </w:t>
      </w:r>
      <w:r w:rsidR="002976A8" w:rsidRPr="000C541E">
        <w:rPr>
          <w:i w:val="0"/>
          <w:iCs/>
          <w:smallCaps/>
        </w:rPr>
        <w:t>Ordinance</w:t>
      </w:r>
      <w:r w:rsidR="005B0BCE" w:rsidRPr="000C541E">
        <w:rPr>
          <w:i w:val="0"/>
          <w:iCs/>
          <w:smallCaps/>
        </w:rPr>
        <w:t>s</w:t>
      </w:r>
      <w:r w:rsidR="005B0BCE" w:rsidRPr="000C541E">
        <w:rPr>
          <w:i w:val="0"/>
          <w:iCs/>
        </w:rPr>
        <w:t xml:space="preserve"> </w:t>
      </w:r>
      <w:r w:rsidR="008B1D41" w:rsidRPr="000C541E">
        <w:rPr>
          <w:i w:val="0"/>
          <w:iCs/>
        </w:rPr>
        <w:t xml:space="preserve">tit. </w:t>
      </w:r>
      <w:r w:rsidR="0021083D" w:rsidRPr="000C541E">
        <w:rPr>
          <w:i w:val="0"/>
          <w:iCs/>
        </w:rPr>
        <w:t xml:space="preserve">6, </w:t>
      </w:r>
      <w:r w:rsidR="00977230" w:rsidRPr="000C541E">
        <w:rPr>
          <w:i w:val="0"/>
          <w:iCs/>
        </w:rPr>
        <w:t>div. 3, ch.</w:t>
      </w:r>
      <w:r w:rsidR="00BE029A" w:rsidRPr="000C541E">
        <w:rPr>
          <w:i w:val="0"/>
          <w:iCs/>
        </w:rPr>
        <w:t>7</w:t>
      </w:r>
      <w:r w:rsidR="007B62E6" w:rsidRPr="000C541E">
        <w:rPr>
          <w:i w:val="0"/>
          <w:iCs/>
        </w:rPr>
        <w:t xml:space="preserve">, </w:t>
      </w:r>
      <w:r w:rsidR="00B20432" w:rsidRPr="000C541E">
        <w:rPr>
          <w:i w:val="0"/>
          <w:iCs/>
        </w:rPr>
        <w:t>§ 6-370</w:t>
      </w:r>
      <w:r w:rsidR="00D73E4E" w:rsidRPr="000C541E">
        <w:rPr>
          <w:i w:val="0"/>
          <w:iCs/>
        </w:rPr>
        <w:t>1</w:t>
      </w:r>
      <w:r w:rsidR="00593428" w:rsidRPr="000C541E">
        <w:rPr>
          <w:i w:val="0"/>
          <w:iCs/>
        </w:rPr>
        <w:t xml:space="preserve"> (2024).</w:t>
      </w:r>
    </w:p>
  </w:footnote>
  <w:footnote w:id="31">
    <w:p w14:paraId="525BE9F9" w14:textId="6A4D7B59" w:rsidR="00B317F8" w:rsidRPr="000C541E" w:rsidRDefault="00B317F8"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Pr="000C541E">
        <w:rPr>
          <w:i w:val="0"/>
          <w:iCs/>
          <w:smallCaps/>
        </w:rPr>
        <w:t>Fresno, Mun. Code</w:t>
      </w:r>
      <w:r w:rsidRPr="000C541E">
        <w:rPr>
          <w:i w:val="0"/>
          <w:iCs/>
        </w:rPr>
        <w:t xml:space="preserve"> art. 21, § 10-2101(a)</w:t>
      </w:r>
      <w:r w:rsidR="005061CB" w:rsidRPr="005061CB">
        <w:rPr>
          <w:i w:val="0"/>
          <w:iCs/>
        </w:rPr>
        <w:t xml:space="preserve"> </w:t>
      </w:r>
      <w:r w:rsidR="005061CB" w:rsidRPr="000C541E">
        <w:rPr>
          <w:i w:val="0"/>
          <w:iCs/>
        </w:rPr>
        <w:t>(2024).</w:t>
      </w:r>
    </w:p>
  </w:footnote>
  <w:footnote w:id="32">
    <w:p w14:paraId="5510D154" w14:textId="72851B8A" w:rsidR="00983177" w:rsidRPr="00AF6496" w:rsidRDefault="00983177" w:rsidP="00BE5D97">
      <w:pPr>
        <w:pStyle w:val="FootnoteText"/>
        <w:spacing w:after="0" w:line="220" w:lineRule="exact"/>
      </w:pPr>
      <w:r w:rsidRPr="000C541E">
        <w:rPr>
          <w:rStyle w:val="FootnoteReference"/>
          <w:i w:val="0"/>
          <w:iCs/>
        </w:rPr>
        <w:footnoteRef/>
      </w:r>
      <w:r w:rsidRPr="000C541E">
        <w:rPr>
          <w:i w:val="0"/>
          <w:iCs/>
        </w:rPr>
        <w:t xml:space="preserve"> </w:t>
      </w:r>
      <w:r w:rsidR="005A04FF" w:rsidRPr="000C541E">
        <w:rPr>
          <w:i w:val="0"/>
          <w:iCs/>
          <w:smallCaps/>
        </w:rPr>
        <w:t>San Joaquin County, Cal., Ordinances</w:t>
      </w:r>
      <w:r w:rsidR="005A04FF" w:rsidRPr="000C541E">
        <w:rPr>
          <w:i w:val="0"/>
          <w:iCs/>
        </w:rPr>
        <w:t xml:space="preserve"> tit. 6, div. 3, ch.7, § 6-370</w:t>
      </w:r>
      <w:r w:rsidR="00D73E4E" w:rsidRPr="000C541E">
        <w:rPr>
          <w:i w:val="0"/>
          <w:iCs/>
        </w:rPr>
        <w:t>3</w:t>
      </w:r>
      <w:r w:rsidR="005A04FF" w:rsidRPr="000C541E">
        <w:rPr>
          <w:i w:val="0"/>
          <w:iCs/>
        </w:rPr>
        <w:t xml:space="preserve"> (2024).</w:t>
      </w:r>
    </w:p>
  </w:footnote>
  <w:footnote w:id="33">
    <w:p w14:paraId="51672CC9" w14:textId="5B548F79" w:rsidR="00DF7CA9" w:rsidRPr="000C541E" w:rsidRDefault="00DF7CA9" w:rsidP="00BE5D97">
      <w:pPr>
        <w:pStyle w:val="FootnoteText"/>
        <w:spacing w:after="0" w:line="220" w:lineRule="exact"/>
        <w:rPr>
          <w:i w:val="0"/>
          <w:iCs/>
        </w:rPr>
      </w:pPr>
      <w:r w:rsidRPr="002F6294">
        <w:rPr>
          <w:rStyle w:val="FootnoteReference"/>
          <w:i w:val="0"/>
          <w:iCs/>
        </w:rPr>
        <w:footnoteRef/>
      </w:r>
      <w:r w:rsidRPr="000C541E">
        <w:rPr>
          <w:i w:val="0"/>
          <w:iCs/>
        </w:rPr>
        <w:t xml:space="preserve"> Talbot et al., </w:t>
      </w:r>
      <w:r w:rsidRPr="000C541E">
        <w:rPr>
          <w:i w:val="0"/>
          <w:iCs/>
          <w:u w:val="single"/>
        </w:rPr>
        <w:t>Swept Away,</w:t>
      </w:r>
      <w:r w:rsidRPr="000C541E">
        <w:rPr>
          <w:i w:val="0"/>
          <w:iCs/>
        </w:rPr>
        <w:t xml:space="preserve"> ProPublica (Oct. 29, 2024</w:t>
      </w:r>
      <w:r w:rsidR="24F5AD0D" w:rsidRPr="000C541E">
        <w:rPr>
          <w:i w:val="0"/>
          <w:iCs/>
        </w:rPr>
        <w:t xml:space="preserve">), </w:t>
      </w:r>
      <w:r w:rsidRPr="000C541E">
        <w:rPr>
          <w:i w:val="0"/>
          <w:iCs/>
        </w:rPr>
        <w:t xml:space="preserve">https://projects.propublica.org/homeless-encampment-sweeps-taken-belongings/. </w:t>
      </w:r>
    </w:p>
  </w:footnote>
  <w:footnote w:id="34">
    <w:p w14:paraId="4878C851" w14:textId="00F9D18E" w:rsidR="00B53081" w:rsidRPr="00AF6496" w:rsidRDefault="00B53081" w:rsidP="00BE5D97">
      <w:pPr>
        <w:pStyle w:val="FootnoteText"/>
        <w:spacing w:after="0" w:line="220" w:lineRule="exact"/>
        <w:rPr>
          <w:lang w:val="fr-FR"/>
        </w:rPr>
      </w:pPr>
      <w:r w:rsidRPr="002F6294">
        <w:rPr>
          <w:rStyle w:val="FootnoteReference"/>
          <w:i w:val="0"/>
          <w:iCs/>
        </w:rPr>
        <w:footnoteRef/>
      </w:r>
      <w:r w:rsidRPr="000C541E">
        <w:rPr>
          <w:i w:val="0"/>
          <w:iCs/>
          <w:lang w:val="fr-FR"/>
        </w:rPr>
        <w:t xml:space="preserve"> </w:t>
      </w:r>
      <w:r w:rsidRPr="002F6294">
        <w:rPr>
          <w:lang w:val="fr-FR"/>
        </w:rPr>
        <w:t>Id.</w:t>
      </w:r>
    </w:p>
  </w:footnote>
  <w:footnote w:id="35">
    <w:p w14:paraId="5AF94A39" w14:textId="6A0AEA12" w:rsidR="002662A1" w:rsidRPr="00AB5D1B" w:rsidRDefault="002662A1" w:rsidP="00BE5D97">
      <w:pPr>
        <w:pStyle w:val="FootnoteText"/>
        <w:spacing w:after="0" w:line="220" w:lineRule="exact"/>
        <w:rPr>
          <w:i w:val="0"/>
          <w:iCs/>
          <w:lang w:val="fr-FR"/>
        </w:rPr>
      </w:pPr>
      <w:r w:rsidRPr="002F6294">
        <w:rPr>
          <w:rStyle w:val="FootnoteReference"/>
          <w:i w:val="0"/>
          <w:iCs/>
        </w:rPr>
        <w:footnoteRef/>
      </w:r>
      <w:r w:rsidRPr="00AB5D1B">
        <w:rPr>
          <w:i w:val="0"/>
          <w:iCs/>
          <w:lang w:val="fr-FR"/>
        </w:rPr>
        <w:t xml:space="preserve"> 42 U.S.C. § 12131</w:t>
      </w:r>
      <w:r w:rsidR="005061CB" w:rsidRPr="00AB5D1B">
        <w:rPr>
          <w:i w:val="0"/>
          <w:iCs/>
          <w:lang w:val="fr-FR"/>
        </w:rPr>
        <w:t xml:space="preserve"> (2024)</w:t>
      </w:r>
      <w:r w:rsidR="00174CDC" w:rsidRPr="00AB5D1B">
        <w:rPr>
          <w:i w:val="0"/>
          <w:iCs/>
          <w:lang w:val="fr-FR"/>
        </w:rPr>
        <w:t xml:space="preserve"> </w:t>
      </w:r>
      <w:r w:rsidR="00174CDC" w:rsidRPr="00AB5D1B">
        <w:rPr>
          <w:lang w:val="fr-FR"/>
        </w:rPr>
        <w:t xml:space="preserve">et </w:t>
      </w:r>
      <w:proofErr w:type="spellStart"/>
      <w:r w:rsidR="00174CDC" w:rsidRPr="00AB5D1B">
        <w:rPr>
          <w:lang w:val="fr-FR"/>
        </w:rPr>
        <w:t>seq</w:t>
      </w:r>
      <w:proofErr w:type="spellEnd"/>
      <w:r w:rsidR="00174CDC" w:rsidRPr="00AB5D1B">
        <w:rPr>
          <w:i w:val="0"/>
          <w:iCs/>
          <w:lang w:val="fr-FR"/>
        </w:rPr>
        <w:t xml:space="preserve">. </w:t>
      </w:r>
    </w:p>
  </w:footnote>
  <w:footnote w:id="36">
    <w:p w14:paraId="5279A9E6" w14:textId="3FC2B112" w:rsidR="002662A1" w:rsidRPr="00AF6496" w:rsidRDefault="002662A1" w:rsidP="00BE5D97">
      <w:pPr>
        <w:pStyle w:val="FootnoteText"/>
        <w:spacing w:after="0" w:line="220" w:lineRule="exact"/>
      </w:pPr>
      <w:r w:rsidRPr="00A40557">
        <w:rPr>
          <w:rStyle w:val="FootnoteReference"/>
          <w:i w:val="0"/>
          <w:iCs/>
        </w:rPr>
        <w:footnoteRef/>
      </w:r>
      <w:r w:rsidRPr="00A40557">
        <w:rPr>
          <w:i w:val="0"/>
          <w:iCs/>
        </w:rPr>
        <w:t xml:space="preserve"> </w:t>
      </w:r>
      <w:r w:rsidR="000D692E" w:rsidRPr="000C541E">
        <w:rPr>
          <w:i w:val="0"/>
          <w:iCs/>
        </w:rPr>
        <w:t>42 U.S.C § 12132</w:t>
      </w:r>
      <w:r w:rsidR="005061CB">
        <w:rPr>
          <w:i w:val="0"/>
          <w:iCs/>
        </w:rPr>
        <w:t xml:space="preserve"> </w:t>
      </w:r>
      <w:r w:rsidR="005061CB" w:rsidRPr="000C541E">
        <w:rPr>
          <w:i w:val="0"/>
          <w:iCs/>
        </w:rPr>
        <w:t>(2024)</w:t>
      </w:r>
      <w:r w:rsidR="000D692E" w:rsidRPr="000C541E">
        <w:rPr>
          <w:i w:val="0"/>
          <w:iCs/>
        </w:rPr>
        <w:t xml:space="preserve">; </w:t>
      </w:r>
      <w:r w:rsidRPr="002F6294">
        <w:t>McGary v. City of Portland</w:t>
      </w:r>
      <w:r w:rsidRPr="000C541E">
        <w:rPr>
          <w:i w:val="0"/>
          <w:iCs/>
        </w:rPr>
        <w:t xml:space="preserve">, 386 F.3d 1259, 1265 (9th Cir. 2004) (quoting </w:t>
      </w:r>
      <w:r w:rsidRPr="002F6294">
        <w:t>Thompson v. Davis</w:t>
      </w:r>
      <w:r w:rsidRPr="000C541E">
        <w:rPr>
          <w:i w:val="0"/>
          <w:iCs/>
        </w:rPr>
        <w:t xml:space="preserve">, 295 F.3d 890, 895 (9th Cir. 2002) overruled in part on other grounds in </w:t>
      </w:r>
      <w:r w:rsidRPr="002F6294">
        <w:t>Castro v. County of L.A</w:t>
      </w:r>
      <w:r w:rsidRPr="000C541E">
        <w:rPr>
          <w:i w:val="0"/>
          <w:iCs/>
        </w:rPr>
        <w:t>., 833 F.3d 1060 (9th Cir. 2016) (</w:t>
      </w:r>
      <w:proofErr w:type="spellStart"/>
      <w:r w:rsidRPr="000C541E">
        <w:rPr>
          <w:i w:val="0"/>
          <w:iCs/>
        </w:rPr>
        <w:t>en</w:t>
      </w:r>
      <w:proofErr w:type="spellEnd"/>
      <w:r w:rsidRPr="000C541E">
        <w:rPr>
          <w:i w:val="0"/>
          <w:iCs/>
        </w:rPr>
        <w:t xml:space="preserve"> banc)).</w:t>
      </w:r>
    </w:p>
  </w:footnote>
  <w:footnote w:id="37">
    <w:p w14:paraId="1AEB469B" w14:textId="712DD95F" w:rsidR="00A4037C" w:rsidRPr="000C541E" w:rsidRDefault="00A4037C" w:rsidP="00BE5D97">
      <w:pPr>
        <w:pStyle w:val="FootnoteText"/>
        <w:spacing w:after="0" w:line="220" w:lineRule="exact"/>
        <w:rPr>
          <w:i w:val="0"/>
          <w:iCs/>
        </w:rPr>
      </w:pPr>
      <w:r w:rsidRPr="00A40557">
        <w:rPr>
          <w:rStyle w:val="FootnoteReference"/>
          <w:i w:val="0"/>
          <w:iCs/>
        </w:rPr>
        <w:footnoteRef/>
      </w:r>
      <w:r w:rsidRPr="00A40557">
        <w:rPr>
          <w:i w:val="0"/>
          <w:iCs/>
        </w:rPr>
        <w:t xml:space="preserve"> </w:t>
      </w:r>
      <w:r w:rsidRPr="000C541E">
        <w:rPr>
          <w:i w:val="0"/>
          <w:iCs/>
        </w:rPr>
        <w:t>42 U.S.C. § 12133</w:t>
      </w:r>
      <w:r w:rsidR="005061CB">
        <w:rPr>
          <w:i w:val="0"/>
          <w:iCs/>
        </w:rPr>
        <w:t xml:space="preserve"> </w:t>
      </w:r>
      <w:r w:rsidR="005061CB" w:rsidRPr="000C541E">
        <w:rPr>
          <w:i w:val="0"/>
          <w:iCs/>
        </w:rPr>
        <w:t>(2024)</w:t>
      </w:r>
      <w:r w:rsidR="000D692E" w:rsidRPr="000C541E">
        <w:rPr>
          <w:i w:val="0"/>
          <w:iCs/>
        </w:rPr>
        <w:t xml:space="preserve">; </w:t>
      </w:r>
      <w:r w:rsidR="000D692E" w:rsidRPr="002F6294">
        <w:t xml:space="preserve">Duvall v. </w:t>
      </w:r>
      <w:proofErr w:type="spellStart"/>
      <w:r w:rsidR="000D692E" w:rsidRPr="002F6294">
        <w:t>Cnty</w:t>
      </w:r>
      <w:proofErr w:type="spellEnd"/>
      <w:r w:rsidR="000D692E" w:rsidRPr="002F6294">
        <w:t>. of Kitsap</w:t>
      </w:r>
      <w:r w:rsidR="000D692E" w:rsidRPr="000C541E">
        <w:rPr>
          <w:i w:val="0"/>
          <w:iCs/>
        </w:rPr>
        <w:t xml:space="preserve">, 260 F.3d 1124, 1138 (9th Cir. 2001), as amended on denial of reh'g (Oct. 11, 2001); </w:t>
      </w:r>
      <w:r w:rsidR="000D692E" w:rsidRPr="00651142">
        <w:t>but see</w:t>
      </w:r>
      <w:r w:rsidR="000D692E" w:rsidRPr="000C541E">
        <w:rPr>
          <w:i w:val="0"/>
          <w:iCs/>
        </w:rPr>
        <w:t xml:space="preserve">, </w:t>
      </w:r>
      <w:r w:rsidR="000D692E" w:rsidRPr="002F6294">
        <w:t>Cummings v. Premier Rehab Keller</w:t>
      </w:r>
      <w:r w:rsidR="000D692E" w:rsidRPr="000C541E">
        <w:rPr>
          <w:i w:val="0"/>
          <w:iCs/>
        </w:rPr>
        <w:t xml:space="preserve">, P.L.L.C., 596 U.S. 212 (2022) (holding that emotional distress damages are precluded under Section 504. The decision has been cited as authority in some </w:t>
      </w:r>
      <w:r w:rsidR="0066247E" w:rsidRPr="000C541E">
        <w:rPr>
          <w:i w:val="0"/>
          <w:iCs/>
        </w:rPr>
        <w:t>c</w:t>
      </w:r>
      <w:r w:rsidR="000D692E" w:rsidRPr="000C541E">
        <w:rPr>
          <w:i w:val="0"/>
          <w:iCs/>
        </w:rPr>
        <w:t>ircuits for precluding emotional distress damages under Title II of the ADA.).</w:t>
      </w:r>
    </w:p>
  </w:footnote>
  <w:footnote w:id="38">
    <w:p w14:paraId="2E7E5FCD" w14:textId="587406F9" w:rsidR="00A34CA1" w:rsidRPr="005061CB" w:rsidRDefault="00A34CA1" w:rsidP="00BE5D97">
      <w:pPr>
        <w:pStyle w:val="FootnoteText"/>
        <w:spacing w:after="0" w:line="220" w:lineRule="exact"/>
        <w:rPr>
          <w:b/>
          <w:bCs/>
          <w:i w:val="0"/>
          <w:iCs/>
          <w:lang w:val="es-ES"/>
        </w:rPr>
      </w:pPr>
      <w:r w:rsidRPr="00A40557">
        <w:rPr>
          <w:rStyle w:val="FootnoteReference"/>
          <w:i w:val="0"/>
          <w:iCs/>
        </w:rPr>
        <w:footnoteRef/>
      </w:r>
      <w:r w:rsidRPr="00A40557">
        <w:rPr>
          <w:i w:val="0"/>
          <w:iCs/>
          <w:lang w:val="es-ES"/>
        </w:rPr>
        <w:t xml:space="preserve"> </w:t>
      </w:r>
      <w:r w:rsidRPr="000C541E">
        <w:rPr>
          <w:i w:val="0"/>
          <w:iCs/>
          <w:lang w:val="es-ES"/>
        </w:rPr>
        <w:t>29 U.S.C. § 794(a)</w:t>
      </w:r>
      <w:r w:rsidR="005061CB">
        <w:rPr>
          <w:i w:val="0"/>
          <w:iCs/>
          <w:lang w:val="es-ES"/>
        </w:rPr>
        <w:t xml:space="preserve"> </w:t>
      </w:r>
      <w:r w:rsidR="005061CB" w:rsidRPr="00AB5D1B">
        <w:rPr>
          <w:i w:val="0"/>
          <w:iCs/>
          <w:lang w:val="es-ES"/>
        </w:rPr>
        <w:t>(2024).</w:t>
      </w:r>
    </w:p>
  </w:footnote>
  <w:footnote w:id="39">
    <w:p w14:paraId="756DFC04" w14:textId="1115464E" w:rsidR="00EC217C" w:rsidRPr="000C541E" w:rsidRDefault="00EC217C" w:rsidP="00BE5D97">
      <w:pPr>
        <w:pStyle w:val="FootnoteText"/>
        <w:spacing w:after="0" w:line="220" w:lineRule="exact"/>
        <w:rPr>
          <w:i w:val="0"/>
          <w:iCs/>
        </w:rPr>
      </w:pPr>
      <w:r w:rsidRPr="00A40557">
        <w:rPr>
          <w:rStyle w:val="FootnoteReference"/>
          <w:i w:val="0"/>
          <w:iCs/>
        </w:rPr>
        <w:footnoteRef/>
      </w:r>
      <w:r w:rsidRPr="00A40557">
        <w:rPr>
          <w:i w:val="0"/>
          <w:iCs/>
          <w:lang w:val="es-ES"/>
        </w:rPr>
        <w:t xml:space="preserve"> </w:t>
      </w:r>
      <w:r w:rsidR="00645F60" w:rsidRPr="002F6294">
        <w:rPr>
          <w:lang w:val="es-ES"/>
        </w:rPr>
        <w:t xml:space="preserve">Payan v. Los </w:t>
      </w:r>
      <w:proofErr w:type="spellStart"/>
      <w:r w:rsidR="00645F60" w:rsidRPr="002F6294">
        <w:rPr>
          <w:lang w:val="es-ES"/>
        </w:rPr>
        <w:t>Angeles</w:t>
      </w:r>
      <w:proofErr w:type="spellEnd"/>
      <w:r w:rsidR="00645F60" w:rsidRPr="002F6294">
        <w:rPr>
          <w:lang w:val="es-ES"/>
        </w:rPr>
        <w:t xml:space="preserve"> </w:t>
      </w:r>
      <w:proofErr w:type="spellStart"/>
      <w:r w:rsidR="00645F60" w:rsidRPr="002F6294">
        <w:rPr>
          <w:lang w:val="es-ES"/>
        </w:rPr>
        <w:t>C</w:t>
      </w:r>
      <w:r w:rsidR="002F6294" w:rsidRPr="002F6294">
        <w:rPr>
          <w:lang w:val="es-ES"/>
        </w:rPr>
        <w:t>n</w:t>
      </w:r>
      <w:r w:rsidR="00645F60" w:rsidRPr="002F6294">
        <w:rPr>
          <w:lang w:val="es-ES"/>
        </w:rPr>
        <w:t>ty</w:t>
      </w:r>
      <w:proofErr w:type="spellEnd"/>
      <w:r w:rsidR="00645F60" w:rsidRPr="000C541E">
        <w:rPr>
          <w:i w:val="0"/>
          <w:iCs/>
          <w:lang w:val="es-ES"/>
        </w:rPr>
        <w:t xml:space="preserve">. </w:t>
      </w:r>
      <w:r w:rsidR="00645F60" w:rsidRPr="000C541E">
        <w:rPr>
          <w:i w:val="0"/>
          <w:iCs/>
        </w:rPr>
        <w:t>Coll. Dist., 11 F.4th 729, 737 (9th Cir. 2021) (</w:t>
      </w:r>
      <w:r w:rsidR="00645F60" w:rsidRPr="00A40557">
        <w:rPr>
          <w:i w:val="0"/>
          <w:iCs/>
        </w:rPr>
        <w:t>quoting</w:t>
      </w:r>
      <w:r w:rsidR="00645F60" w:rsidRPr="00A40557">
        <w:t xml:space="preserve"> K.M. ex rel. Bright v. Tustin Unified Sch. Dist.</w:t>
      </w:r>
      <w:r w:rsidR="00645F60" w:rsidRPr="000C541E">
        <w:rPr>
          <w:i w:val="0"/>
          <w:iCs/>
        </w:rPr>
        <w:t>, 725 F.3d 1088, 1098 (9th Cir. 2013</w:t>
      </w:r>
      <w:r w:rsidR="24F5AD0D" w:rsidRPr="000C541E">
        <w:rPr>
          <w:i w:val="0"/>
          <w:iCs/>
        </w:rPr>
        <w:t>));</w:t>
      </w:r>
      <w:r w:rsidR="00645F60" w:rsidRPr="000C541E">
        <w:rPr>
          <w:i w:val="0"/>
          <w:iCs/>
        </w:rPr>
        <w:t xml:space="preserve"> see also, </w:t>
      </w:r>
      <w:r w:rsidRPr="002F6294">
        <w:t>Tyson v. City of San Bernardino</w:t>
      </w:r>
      <w:r w:rsidRPr="000C541E">
        <w:rPr>
          <w:i w:val="0"/>
          <w:iCs/>
        </w:rPr>
        <w:t>, No. EDCV 23-01539 TJH (Ma), 2024 U.S. Dist. LEXIS 138743, at *15 (C.D. Cal. Jan. 12, 2024)</w:t>
      </w:r>
      <w:r w:rsidR="002F0252" w:rsidRPr="000C541E">
        <w:rPr>
          <w:i w:val="0"/>
          <w:iCs/>
        </w:rPr>
        <w:t xml:space="preserve"> </w:t>
      </w:r>
      <w:r w:rsidRPr="000C541E">
        <w:rPr>
          <w:i w:val="0"/>
          <w:iCs/>
        </w:rPr>
        <w:t>(</w:t>
      </w:r>
      <w:r w:rsidRPr="00A40557">
        <w:rPr>
          <w:i w:val="0"/>
          <w:iCs/>
        </w:rPr>
        <w:t>citing</w:t>
      </w:r>
      <w:r w:rsidRPr="002F6294">
        <w:t xml:space="preserve"> </w:t>
      </w:r>
      <w:proofErr w:type="spellStart"/>
      <w:r w:rsidRPr="002F6294">
        <w:t>Zukle</w:t>
      </w:r>
      <w:proofErr w:type="spellEnd"/>
      <w:r w:rsidRPr="002F6294">
        <w:t xml:space="preserve"> v. Regents of Univ. of Cal</w:t>
      </w:r>
      <w:r w:rsidRPr="000C541E">
        <w:rPr>
          <w:i w:val="0"/>
          <w:iCs/>
        </w:rPr>
        <w:t>., 166 F.3d 1041, 1045 (9th Cir. 1999)).</w:t>
      </w:r>
    </w:p>
  </w:footnote>
  <w:footnote w:id="40">
    <w:p w14:paraId="7DE82A50" w14:textId="76D39C79" w:rsidR="79A6ED15" w:rsidRPr="000C541E" w:rsidRDefault="79A6ED15" w:rsidP="00BE5D97">
      <w:pPr>
        <w:pStyle w:val="FootnoteText"/>
        <w:spacing w:after="0" w:line="220" w:lineRule="exact"/>
        <w:rPr>
          <w:i w:val="0"/>
          <w:iCs/>
        </w:rPr>
      </w:pPr>
      <w:r w:rsidRPr="00A40557">
        <w:rPr>
          <w:rStyle w:val="FootnoteReference"/>
          <w:i w:val="0"/>
          <w:iCs/>
        </w:rPr>
        <w:footnoteRef/>
      </w:r>
      <w:r w:rsidRPr="000C541E">
        <w:rPr>
          <w:i w:val="0"/>
          <w:iCs/>
        </w:rPr>
        <w:t xml:space="preserve"> </w:t>
      </w:r>
      <w:r w:rsidRPr="002F6294">
        <w:t>Bloom v. City of San Diego</w:t>
      </w:r>
      <w:r w:rsidRPr="000C541E">
        <w:rPr>
          <w:i w:val="0"/>
          <w:iCs/>
        </w:rPr>
        <w:t>, No. 17-cv-2324-AJB-NLS, 2018 U.S. Dist. LEXIS 243767, at *11 (S.D. Cal. June 7, 2018).</w:t>
      </w:r>
    </w:p>
  </w:footnote>
  <w:footnote w:id="41">
    <w:p w14:paraId="3252D333" w14:textId="3FAFCED1" w:rsidR="00A4037C" w:rsidRPr="000C541E" w:rsidRDefault="00A4037C" w:rsidP="00BE5D97">
      <w:pPr>
        <w:pStyle w:val="FootnoteText"/>
        <w:spacing w:after="0" w:line="220" w:lineRule="exact"/>
        <w:rPr>
          <w:i w:val="0"/>
          <w:iCs/>
        </w:rPr>
      </w:pPr>
      <w:r w:rsidRPr="00F91174">
        <w:rPr>
          <w:rStyle w:val="FootnoteReference"/>
          <w:i w:val="0"/>
          <w:iCs/>
        </w:rPr>
        <w:footnoteRef/>
      </w:r>
      <w:r w:rsidRPr="000C541E">
        <w:rPr>
          <w:i w:val="0"/>
          <w:iCs/>
        </w:rPr>
        <w:t xml:space="preserve"> 29 U.S.C. § 794a</w:t>
      </w:r>
      <w:r w:rsidR="005061CB">
        <w:rPr>
          <w:i w:val="0"/>
          <w:iCs/>
        </w:rPr>
        <w:t xml:space="preserve"> </w:t>
      </w:r>
      <w:r w:rsidR="005061CB" w:rsidRPr="000C541E">
        <w:rPr>
          <w:i w:val="0"/>
          <w:iCs/>
        </w:rPr>
        <w:t>(2024)</w:t>
      </w:r>
      <w:r w:rsidR="00E924FC" w:rsidRPr="000C541E">
        <w:rPr>
          <w:i w:val="0"/>
          <w:iCs/>
        </w:rPr>
        <w:t xml:space="preserve">; </w:t>
      </w:r>
      <w:r w:rsidR="00F91174" w:rsidRPr="00F91174">
        <w:t>see</w:t>
      </w:r>
      <w:r w:rsidR="00F91174">
        <w:t xml:space="preserve"> also,</w:t>
      </w:r>
      <w:r w:rsidR="00F91174">
        <w:rPr>
          <w:i w:val="0"/>
          <w:iCs/>
        </w:rPr>
        <w:t xml:space="preserve"> </w:t>
      </w:r>
      <w:r w:rsidR="00E924FC" w:rsidRPr="00A40557">
        <w:t>Duvall</w:t>
      </w:r>
      <w:r w:rsidR="00E924FC" w:rsidRPr="000C541E">
        <w:rPr>
          <w:i w:val="0"/>
          <w:iCs/>
        </w:rPr>
        <w:t xml:space="preserve">, 260 F.3d </w:t>
      </w:r>
      <w:r w:rsidR="0092164F" w:rsidRPr="000C541E">
        <w:rPr>
          <w:i w:val="0"/>
          <w:iCs/>
        </w:rPr>
        <w:t xml:space="preserve">at </w:t>
      </w:r>
      <w:r w:rsidR="00E924FC" w:rsidRPr="000C541E">
        <w:rPr>
          <w:i w:val="0"/>
          <w:iCs/>
        </w:rPr>
        <w:t xml:space="preserve">1138, as amended on denial of reh'g (Oct. 11, 2001); </w:t>
      </w:r>
      <w:r w:rsidR="00E924FC" w:rsidRPr="00651142">
        <w:t xml:space="preserve">but </w:t>
      </w:r>
      <w:proofErr w:type="gramStart"/>
      <w:r w:rsidR="00E924FC" w:rsidRPr="00651142">
        <w:t>see</w:t>
      </w:r>
      <w:r w:rsidR="00E924FC" w:rsidRPr="00A40557">
        <w:t>,  Cummings</w:t>
      </w:r>
      <w:proofErr w:type="gramEnd"/>
      <w:r w:rsidR="00E924FC" w:rsidRPr="000C541E">
        <w:rPr>
          <w:i w:val="0"/>
          <w:iCs/>
        </w:rPr>
        <w:t>, 596 U.S. 212.</w:t>
      </w:r>
      <w:r w:rsidR="005061CB">
        <w:rPr>
          <w:i w:val="0"/>
          <w:iCs/>
        </w:rPr>
        <w:t xml:space="preserve"> </w:t>
      </w:r>
    </w:p>
  </w:footnote>
  <w:footnote w:id="42">
    <w:p w14:paraId="5DD4941F" w14:textId="7067078A" w:rsidR="00EC217C" w:rsidRPr="00AF6496" w:rsidRDefault="00EC217C" w:rsidP="00BE5D97">
      <w:pPr>
        <w:pStyle w:val="FootnoteText"/>
        <w:spacing w:after="0" w:line="220" w:lineRule="exact"/>
      </w:pPr>
      <w:r w:rsidRPr="00F91174">
        <w:rPr>
          <w:rStyle w:val="FootnoteReference"/>
          <w:i w:val="0"/>
          <w:iCs/>
        </w:rPr>
        <w:footnoteRef/>
      </w:r>
      <w:r w:rsidRPr="00F91174">
        <w:rPr>
          <w:i w:val="0"/>
          <w:iCs/>
        </w:rPr>
        <w:t xml:space="preserve"> </w:t>
      </w:r>
      <w:r w:rsidR="00A96462" w:rsidRPr="00A40557">
        <w:t>Payan</w:t>
      </w:r>
      <w:r w:rsidR="00A96462" w:rsidRPr="000C541E">
        <w:rPr>
          <w:i w:val="0"/>
          <w:iCs/>
        </w:rPr>
        <w:t>,11 F.4th at 737.</w:t>
      </w:r>
    </w:p>
  </w:footnote>
  <w:footnote w:id="43">
    <w:p w14:paraId="3B82C962" w14:textId="44514212" w:rsidR="00146588" w:rsidRPr="000C541E" w:rsidRDefault="00146588" w:rsidP="00BE5D97">
      <w:pPr>
        <w:pStyle w:val="FootnoteText"/>
        <w:spacing w:after="0" w:line="220" w:lineRule="exact"/>
        <w:rPr>
          <w:i w:val="0"/>
          <w:iCs/>
        </w:rPr>
      </w:pPr>
      <w:r w:rsidRPr="00F91174">
        <w:rPr>
          <w:rStyle w:val="FootnoteReference"/>
          <w:i w:val="0"/>
          <w:iCs/>
        </w:rPr>
        <w:footnoteRef/>
      </w:r>
      <w:r w:rsidRPr="00F91174">
        <w:rPr>
          <w:i w:val="0"/>
          <w:iCs/>
        </w:rPr>
        <w:t xml:space="preserve"> </w:t>
      </w:r>
      <w:r w:rsidR="002A2447" w:rsidRPr="000C541E">
        <w:rPr>
          <w:i w:val="0"/>
          <w:iCs/>
        </w:rPr>
        <w:t>29 U.S.C. § 794(b)(1)</w:t>
      </w:r>
      <w:r w:rsidR="005061CB">
        <w:rPr>
          <w:i w:val="0"/>
          <w:iCs/>
        </w:rPr>
        <w:t xml:space="preserve"> </w:t>
      </w:r>
      <w:r w:rsidR="005061CB" w:rsidRPr="000C541E">
        <w:rPr>
          <w:i w:val="0"/>
          <w:iCs/>
        </w:rPr>
        <w:t>(2024).</w:t>
      </w:r>
    </w:p>
  </w:footnote>
  <w:footnote w:id="44">
    <w:p w14:paraId="4907744B" w14:textId="5CAA369E" w:rsidR="001B1845" w:rsidRPr="000C541E" w:rsidRDefault="001B1845" w:rsidP="00BE5D97">
      <w:pPr>
        <w:pStyle w:val="FootnoteText"/>
        <w:spacing w:after="0" w:line="220" w:lineRule="exact"/>
        <w:rPr>
          <w:i w:val="0"/>
          <w:iCs/>
        </w:rPr>
      </w:pPr>
      <w:r w:rsidRPr="00F91174">
        <w:rPr>
          <w:rStyle w:val="FootnoteReference"/>
          <w:i w:val="0"/>
          <w:iCs/>
        </w:rPr>
        <w:footnoteRef/>
      </w:r>
      <w:r w:rsidRPr="00F91174">
        <w:rPr>
          <w:i w:val="0"/>
          <w:iCs/>
        </w:rPr>
        <w:t xml:space="preserve"> </w:t>
      </w:r>
      <w:r w:rsidR="008E505B" w:rsidRPr="000C541E">
        <w:rPr>
          <w:i w:val="0"/>
          <w:iCs/>
        </w:rPr>
        <w:t>Cal. Civ. Code § 54.1(d)</w:t>
      </w:r>
      <w:r w:rsidR="005061CB">
        <w:rPr>
          <w:i w:val="0"/>
          <w:iCs/>
        </w:rPr>
        <w:t xml:space="preserve"> </w:t>
      </w:r>
      <w:r w:rsidR="005061CB" w:rsidRPr="000C541E">
        <w:rPr>
          <w:i w:val="0"/>
          <w:iCs/>
        </w:rPr>
        <w:t>(2024).</w:t>
      </w:r>
    </w:p>
  </w:footnote>
  <w:footnote w:id="45">
    <w:p w14:paraId="70B0E5E6" w14:textId="2B507223" w:rsidR="006D6266" w:rsidRPr="000C541E" w:rsidRDefault="006D6266" w:rsidP="00BE5D97">
      <w:pPr>
        <w:pStyle w:val="FootnoteText"/>
        <w:spacing w:after="0" w:line="220" w:lineRule="exact"/>
        <w:rPr>
          <w:i w:val="0"/>
          <w:iCs/>
        </w:rPr>
      </w:pPr>
      <w:r w:rsidRPr="00F91174">
        <w:rPr>
          <w:rStyle w:val="FootnoteReference"/>
          <w:i w:val="0"/>
          <w:iCs/>
        </w:rPr>
        <w:footnoteRef/>
      </w:r>
      <w:r w:rsidRPr="00F91174">
        <w:rPr>
          <w:i w:val="0"/>
          <w:iCs/>
        </w:rPr>
        <w:t xml:space="preserve"> </w:t>
      </w:r>
      <w:r w:rsidRPr="000C541E">
        <w:rPr>
          <w:i w:val="0"/>
          <w:iCs/>
        </w:rPr>
        <w:t>Cal. Civ. Code §</w:t>
      </w:r>
      <w:r w:rsidR="001208F4" w:rsidRPr="000C541E">
        <w:rPr>
          <w:i w:val="0"/>
          <w:iCs/>
        </w:rPr>
        <w:t>§</w:t>
      </w:r>
      <w:r w:rsidRPr="000C541E">
        <w:rPr>
          <w:i w:val="0"/>
          <w:iCs/>
        </w:rPr>
        <w:t xml:space="preserve"> </w:t>
      </w:r>
      <w:proofErr w:type="gramStart"/>
      <w:r w:rsidRPr="000C541E">
        <w:rPr>
          <w:i w:val="0"/>
          <w:iCs/>
        </w:rPr>
        <w:t>55</w:t>
      </w:r>
      <w:r w:rsidR="001208F4" w:rsidRPr="000C541E">
        <w:rPr>
          <w:i w:val="0"/>
          <w:iCs/>
        </w:rPr>
        <w:t> ;</w:t>
      </w:r>
      <w:proofErr w:type="gramEnd"/>
      <w:r w:rsidR="001208F4" w:rsidRPr="000C541E">
        <w:rPr>
          <w:i w:val="0"/>
          <w:iCs/>
        </w:rPr>
        <w:t xml:space="preserve"> 54.3</w:t>
      </w:r>
      <w:r w:rsidR="005061CB">
        <w:rPr>
          <w:i w:val="0"/>
          <w:iCs/>
        </w:rPr>
        <w:t xml:space="preserve"> </w:t>
      </w:r>
      <w:r w:rsidR="005061CB" w:rsidRPr="000C541E">
        <w:rPr>
          <w:i w:val="0"/>
          <w:iCs/>
        </w:rPr>
        <w:t>(2024).</w:t>
      </w:r>
    </w:p>
  </w:footnote>
  <w:footnote w:id="46">
    <w:p w14:paraId="5BC66FBD" w14:textId="612E864C" w:rsidR="000A0DAA" w:rsidRPr="00AF6496" w:rsidRDefault="000A0DAA" w:rsidP="00BE5D97">
      <w:pPr>
        <w:pStyle w:val="FootnoteText"/>
        <w:spacing w:after="0" w:line="220" w:lineRule="exact"/>
      </w:pPr>
      <w:r w:rsidRPr="00F91174">
        <w:rPr>
          <w:rStyle w:val="FootnoteReference"/>
          <w:i w:val="0"/>
          <w:iCs/>
        </w:rPr>
        <w:footnoteRef/>
      </w:r>
      <w:r w:rsidRPr="00F91174">
        <w:rPr>
          <w:i w:val="0"/>
          <w:iCs/>
        </w:rPr>
        <w:t xml:space="preserve"> </w:t>
      </w:r>
      <w:proofErr w:type="spellStart"/>
      <w:r w:rsidRPr="00A40557">
        <w:t>Jankey</w:t>
      </w:r>
      <w:proofErr w:type="spellEnd"/>
      <w:r w:rsidRPr="00A40557">
        <w:t xml:space="preserve"> v. Lee</w:t>
      </w:r>
      <w:r w:rsidRPr="000C541E">
        <w:rPr>
          <w:i w:val="0"/>
          <w:iCs/>
        </w:rPr>
        <w:t>, 55 Cal. 4th 1038, 1046, (2012) (holding that Cal</w:t>
      </w:r>
      <w:r w:rsidR="45084557" w:rsidRPr="000C541E">
        <w:rPr>
          <w:i w:val="0"/>
          <w:iCs/>
        </w:rPr>
        <w:t>.</w:t>
      </w:r>
      <w:r w:rsidRPr="000C541E">
        <w:rPr>
          <w:i w:val="0"/>
          <w:iCs/>
        </w:rPr>
        <w:t xml:space="preserve"> Civ</w:t>
      </w:r>
      <w:r w:rsidR="45084557" w:rsidRPr="000C541E">
        <w:rPr>
          <w:i w:val="0"/>
          <w:iCs/>
        </w:rPr>
        <w:t>.</w:t>
      </w:r>
      <w:r w:rsidRPr="000C541E">
        <w:rPr>
          <w:i w:val="0"/>
          <w:iCs/>
        </w:rPr>
        <w:t xml:space="preserve"> Code § 55 does not limit attorney’s fees to a successful plaintiff, rather any successful party can obtain fees</w:t>
      </w:r>
      <w:r w:rsidR="45084557" w:rsidRPr="000C541E">
        <w:rPr>
          <w:i w:val="0"/>
          <w:iCs/>
        </w:rPr>
        <w:t>).</w:t>
      </w:r>
    </w:p>
  </w:footnote>
  <w:footnote w:id="47">
    <w:p w14:paraId="7C84FB6C" w14:textId="2B23541D" w:rsidR="00EC217C" w:rsidRPr="000C541E" w:rsidRDefault="00EC217C"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008F7D73" w:rsidRPr="000C541E">
        <w:rPr>
          <w:i w:val="0"/>
          <w:iCs/>
        </w:rPr>
        <w:t>28 C.F.R. §</w:t>
      </w:r>
      <w:r w:rsidR="00131751" w:rsidRPr="000C541E">
        <w:rPr>
          <w:i w:val="0"/>
          <w:iCs/>
        </w:rPr>
        <w:t xml:space="preserve"> 35.102 app. B</w:t>
      </w:r>
      <w:r w:rsidR="005061CB">
        <w:rPr>
          <w:i w:val="0"/>
          <w:iCs/>
        </w:rPr>
        <w:t xml:space="preserve"> </w:t>
      </w:r>
      <w:r w:rsidR="005061CB" w:rsidRPr="000C541E">
        <w:rPr>
          <w:i w:val="0"/>
          <w:iCs/>
        </w:rPr>
        <w:t>(2024)</w:t>
      </w:r>
      <w:r w:rsidR="00131751" w:rsidRPr="000C541E">
        <w:rPr>
          <w:i w:val="0"/>
          <w:iCs/>
        </w:rPr>
        <w:t>;</w:t>
      </w:r>
      <w:r w:rsidR="008F7D73" w:rsidRPr="000C541E">
        <w:rPr>
          <w:i w:val="0"/>
          <w:iCs/>
        </w:rPr>
        <w:t xml:space="preserve"> </w:t>
      </w:r>
      <w:r w:rsidRPr="00A40557">
        <w:t>Barden v. City of Sacramento</w:t>
      </w:r>
      <w:r w:rsidRPr="000C541E">
        <w:rPr>
          <w:i w:val="0"/>
          <w:iCs/>
        </w:rPr>
        <w:t xml:space="preserve">, 292 F.3d 1073, 1076 (9th Cir. 2002) (quotation marks omitted) (quoting </w:t>
      </w:r>
      <w:r w:rsidRPr="00A40557">
        <w:t>Lee v. City of L.A.</w:t>
      </w:r>
      <w:r w:rsidRPr="000C541E">
        <w:rPr>
          <w:i w:val="0"/>
          <w:iCs/>
        </w:rPr>
        <w:t>, 250 F.3d 668, 691 (9th Cir. 2001)).</w:t>
      </w:r>
    </w:p>
  </w:footnote>
  <w:footnote w:id="48">
    <w:p w14:paraId="14AE6B54" w14:textId="7AD8D487" w:rsidR="00EC217C" w:rsidRPr="000C541E" w:rsidRDefault="00EC217C"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Pr="004C72F1">
        <w:t>Barden</w:t>
      </w:r>
      <w:r w:rsidRPr="000C541E">
        <w:rPr>
          <w:i w:val="0"/>
          <w:iCs/>
        </w:rPr>
        <w:t>, 292 F.3d at 1076 (quoting</w:t>
      </w:r>
      <w:r w:rsidR="45084557" w:rsidRPr="000C541E">
        <w:rPr>
          <w:i w:val="0"/>
          <w:iCs/>
        </w:rPr>
        <w:t xml:space="preserve"> </w:t>
      </w:r>
      <w:r w:rsidR="45084557" w:rsidRPr="00A40557">
        <w:t>Bay Area Addiction Research &amp; Treatment, Inc. v. City of Antioch</w:t>
      </w:r>
      <w:r w:rsidR="45084557" w:rsidRPr="000C541E">
        <w:rPr>
          <w:i w:val="0"/>
          <w:iCs/>
        </w:rPr>
        <w:t>, 179 F.3d 725, 731 (9th Cir. 1999)</w:t>
      </w:r>
      <w:r w:rsidRPr="000C541E">
        <w:rPr>
          <w:i w:val="0"/>
          <w:iCs/>
        </w:rPr>
        <w:t>).</w:t>
      </w:r>
    </w:p>
  </w:footnote>
  <w:footnote w:id="49">
    <w:p w14:paraId="34F59B51" w14:textId="33F982E6" w:rsidR="00B82594" w:rsidRPr="000C541E" w:rsidRDefault="00B82594"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00F47E6F" w:rsidRPr="00A40557">
        <w:t>See</w:t>
      </w:r>
      <w:r w:rsidR="00F47E6F" w:rsidRPr="000C541E">
        <w:rPr>
          <w:i w:val="0"/>
          <w:iCs/>
        </w:rPr>
        <w:t>, e.g.,</w:t>
      </w:r>
      <w:r w:rsidR="45084557" w:rsidRPr="000C541E">
        <w:rPr>
          <w:i w:val="0"/>
          <w:iCs/>
        </w:rPr>
        <w:t xml:space="preserve"> </w:t>
      </w:r>
      <w:r w:rsidR="45084557" w:rsidRPr="00A40557">
        <w:t>McGary</w:t>
      </w:r>
      <w:r w:rsidR="45084557" w:rsidRPr="000C541E">
        <w:rPr>
          <w:i w:val="0"/>
          <w:iCs/>
        </w:rPr>
        <w:t xml:space="preserve">, 386 F.3d </w:t>
      </w:r>
      <w:r w:rsidR="002E5163" w:rsidRPr="000C541E">
        <w:rPr>
          <w:i w:val="0"/>
          <w:iCs/>
        </w:rPr>
        <w:t xml:space="preserve">at </w:t>
      </w:r>
      <w:r w:rsidR="45084557" w:rsidRPr="000C541E">
        <w:rPr>
          <w:i w:val="0"/>
          <w:iCs/>
        </w:rPr>
        <w:t>1269.</w:t>
      </w:r>
    </w:p>
  </w:footnote>
  <w:footnote w:id="50">
    <w:p w14:paraId="2B74F122" w14:textId="77777777" w:rsidR="00315534" w:rsidRPr="000C541E" w:rsidRDefault="00315534" w:rsidP="00BE5D97">
      <w:pPr>
        <w:pStyle w:val="FootnoteText"/>
        <w:spacing w:after="0" w:line="220" w:lineRule="exact"/>
        <w:rPr>
          <w:i w:val="0"/>
          <w:iCs/>
        </w:rPr>
      </w:pPr>
      <w:r w:rsidRPr="000C541E">
        <w:rPr>
          <w:rStyle w:val="FootnoteReference"/>
          <w:i w:val="0"/>
          <w:iCs/>
        </w:rPr>
        <w:footnoteRef/>
      </w:r>
      <w:r w:rsidRPr="000C541E">
        <w:rPr>
          <w:i w:val="0"/>
          <w:iCs/>
        </w:rPr>
        <w:t xml:space="preserve"> 28 C.F.R. §§ 35.150; 35.151 (2024).</w:t>
      </w:r>
    </w:p>
  </w:footnote>
  <w:footnote w:id="51">
    <w:p w14:paraId="1967315C" w14:textId="7664565C" w:rsidR="002252AE" w:rsidRPr="000C541E" w:rsidRDefault="002252AE" w:rsidP="00BE5D97">
      <w:pPr>
        <w:pStyle w:val="FootnoteText"/>
        <w:spacing w:after="0" w:line="220" w:lineRule="exact"/>
        <w:rPr>
          <w:i w:val="0"/>
          <w:iCs/>
        </w:rPr>
      </w:pPr>
      <w:r w:rsidRPr="000C541E">
        <w:rPr>
          <w:rStyle w:val="FootnoteReference"/>
          <w:i w:val="0"/>
          <w:iCs/>
        </w:rPr>
        <w:footnoteRef/>
      </w:r>
      <w:r w:rsidRPr="000C541E">
        <w:rPr>
          <w:i w:val="0"/>
          <w:iCs/>
        </w:rPr>
        <w:t xml:space="preserve"> 28 </w:t>
      </w:r>
      <w:r w:rsidR="60932364" w:rsidRPr="000C541E">
        <w:rPr>
          <w:i w:val="0"/>
          <w:iCs/>
        </w:rPr>
        <w:t>C.F.R.</w:t>
      </w:r>
      <w:r w:rsidRPr="000C541E">
        <w:rPr>
          <w:i w:val="0"/>
          <w:iCs/>
        </w:rPr>
        <w:t xml:space="preserve"> </w:t>
      </w:r>
      <w:r w:rsidR="45084557" w:rsidRPr="000C541E">
        <w:rPr>
          <w:i w:val="0"/>
          <w:iCs/>
        </w:rPr>
        <w:t xml:space="preserve">§ </w:t>
      </w:r>
      <w:r w:rsidRPr="000C541E">
        <w:rPr>
          <w:i w:val="0"/>
          <w:iCs/>
        </w:rPr>
        <w:t>35.160(a)(1)</w:t>
      </w:r>
      <w:r w:rsidR="7137271A" w:rsidRPr="000C541E">
        <w:rPr>
          <w:i w:val="0"/>
          <w:iCs/>
        </w:rPr>
        <w:t xml:space="preserve"> (2024).</w:t>
      </w:r>
    </w:p>
  </w:footnote>
  <w:footnote w:id="52">
    <w:p w14:paraId="26DD4807" w14:textId="02AB4B3E" w:rsidR="002252AE" w:rsidRPr="000C541E" w:rsidRDefault="002252AE" w:rsidP="00BE5D97">
      <w:pPr>
        <w:pStyle w:val="FootnoteText"/>
        <w:spacing w:after="0" w:line="220" w:lineRule="exact"/>
        <w:rPr>
          <w:i w:val="0"/>
          <w:iCs/>
        </w:rPr>
      </w:pPr>
      <w:r w:rsidRPr="000C541E">
        <w:rPr>
          <w:rStyle w:val="FootnoteReference"/>
          <w:i w:val="0"/>
          <w:iCs/>
        </w:rPr>
        <w:footnoteRef/>
      </w:r>
      <w:r w:rsidRPr="000C541E">
        <w:rPr>
          <w:i w:val="0"/>
          <w:iCs/>
        </w:rPr>
        <w:t xml:space="preserve"> 28 </w:t>
      </w:r>
      <w:r w:rsidR="60932364" w:rsidRPr="000C541E">
        <w:rPr>
          <w:i w:val="0"/>
          <w:iCs/>
        </w:rPr>
        <w:t>C.F.R.</w:t>
      </w:r>
      <w:r w:rsidRPr="000C541E">
        <w:rPr>
          <w:i w:val="0"/>
          <w:iCs/>
        </w:rPr>
        <w:t xml:space="preserve"> </w:t>
      </w:r>
      <w:r w:rsidR="45084557" w:rsidRPr="000C541E">
        <w:rPr>
          <w:i w:val="0"/>
          <w:iCs/>
        </w:rPr>
        <w:t xml:space="preserve">§ </w:t>
      </w:r>
      <w:r w:rsidRPr="000C541E">
        <w:rPr>
          <w:i w:val="0"/>
          <w:iCs/>
        </w:rPr>
        <w:t>35.160(b)(1)</w:t>
      </w:r>
      <w:r w:rsidR="7137271A" w:rsidRPr="000C541E">
        <w:rPr>
          <w:i w:val="0"/>
          <w:iCs/>
        </w:rPr>
        <w:t xml:space="preserve"> (2024).</w:t>
      </w:r>
    </w:p>
  </w:footnote>
  <w:footnote w:id="53">
    <w:p w14:paraId="1220F176" w14:textId="039F8D45" w:rsidR="002252AE" w:rsidRPr="00AF6496" w:rsidRDefault="002252AE" w:rsidP="00BE5D97">
      <w:pPr>
        <w:pStyle w:val="FootnoteText"/>
        <w:spacing w:after="0" w:line="220" w:lineRule="exact"/>
      </w:pPr>
      <w:r w:rsidRPr="000C541E">
        <w:rPr>
          <w:rStyle w:val="FootnoteReference"/>
          <w:i w:val="0"/>
          <w:iCs/>
          <w:sz w:val="15"/>
          <w:szCs w:val="15"/>
        </w:rPr>
        <w:footnoteRef/>
      </w:r>
      <w:r w:rsidRPr="000C541E">
        <w:rPr>
          <w:i w:val="0"/>
          <w:iCs/>
        </w:rPr>
        <w:t xml:space="preserve"> </w:t>
      </w:r>
      <w:r w:rsidRPr="00A40557">
        <w:t>See e.g. Clark v. California</w:t>
      </w:r>
      <w:r w:rsidRPr="000C541E">
        <w:rPr>
          <w:i w:val="0"/>
          <w:iCs/>
        </w:rPr>
        <w:t>, 739 F. Supp. 2d 1168, 1179-1180 (N.D. Cal. 2010</w:t>
      </w:r>
      <w:r w:rsidR="7137271A" w:rsidRPr="000C541E">
        <w:rPr>
          <w:i w:val="0"/>
          <w:iCs/>
        </w:rPr>
        <w:t>).</w:t>
      </w:r>
    </w:p>
  </w:footnote>
  <w:footnote w:id="54">
    <w:p w14:paraId="24053740" w14:textId="612311BC" w:rsidR="001C19DE" w:rsidRPr="000C541E" w:rsidRDefault="001C19DE" w:rsidP="00BE5D97">
      <w:pPr>
        <w:pStyle w:val="FootnoteText"/>
        <w:spacing w:after="0" w:line="220" w:lineRule="exact"/>
        <w:rPr>
          <w:i w:val="0"/>
          <w:iCs/>
        </w:rPr>
      </w:pPr>
      <w:r w:rsidRPr="000C541E">
        <w:rPr>
          <w:rStyle w:val="FootnoteReference"/>
          <w:i w:val="0"/>
          <w:iCs/>
          <w:sz w:val="15"/>
          <w:szCs w:val="15"/>
        </w:rPr>
        <w:footnoteRef/>
      </w:r>
      <w:r w:rsidRPr="000C541E">
        <w:rPr>
          <w:i w:val="0"/>
          <w:iCs/>
        </w:rPr>
        <w:t xml:space="preserve"> </w:t>
      </w:r>
      <w:r w:rsidRPr="00A40557">
        <w:t>Payan</w:t>
      </w:r>
      <w:r w:rsidRPr="000C541E">
        <w:rPr>
          <w:i w:val="0"/>
          <w:iCs/>
        </w:rPr>
        <w:t xml:space="preserve">, 11 F.4th </w:t>
      </w:r>
      <w:r w:rsidR="002E5163" w:rsidRPr="000C541E">
        <w:rPr>
          <w:i w:val="0"/>
          <w:iCs/>
        </w:rPr>
        <w:t xml:space="preserve">at </w:t>
      </w:r>
      <w:r w:rsidRPr="000C541E">
        <w:rPr>
          <w:i w:val="0"/>
          <w:iCs/>
        </w:rPr>
        <w:t xml:space="preserve">738 (quoting </w:t>
      </w:r>
      <w:r w:rsidRPr="00A40557">
        <w:t>Davis v. Shah</w:t>
      </w:r>
      <w:r w:rsidRPr="000C541E">
        <w:rPr>
          <w:i w:val="0"/>
          <w:iCs/>
        </w:rPr>
        <w:t>, 821 F.3d 231, 260 (2d Cir. 2016)).</w:t>
      </w:r>
    </w:p>
  </w:footnote>
  <w:footnote w:id="55">
    <w:p w14:paraId="77254F3D" w14:textId="4CD9239A" w:rsidR="001C19DE" w:rsidRPr="000C541E" w:rsidRDefault="001C19DE" w:rsidP="00BE5D97">
      <w:pPr>
        <w:pStyle w:val="FootnoteText"/>
        <w:spacing w:after="0" w:line="220" w:lineRule="exact"/>
        <w:rPr>
          <w:i w:val="0"/>
          <w:iCs/>
        </w:rPr>
      </w:pPr>
      <w:r w:rsidRPr="000C541E">
        <w:rPr>
          <w:rStyle w:val="FootnoteReference"/>
          <w:i w:val="0"/>
          <w:iCs/>
          <w:sz w:val="15"/>
          <w:szCs w:val="15"/>
        </w:rPr>
        <w:footnoteRef/>
      </w:r>
      <w:r w:rsidRPr="000C541E">
        <w:rPr>
          <w:i w:val="0"/>
          <w:iCs/>
        </w:rPr>
        <w:t xml:space="preserve"> 28 C.F.R. §§ 35.130(a), (b)(3); </w:t>
      </w:r>
      <w:r w:rsidRPr="00A40557">
        <w:t>McGary</w:t>
      </w:r>
      <w:r w:rsidRPr="000C541E">
        <w:rPr>
          <w:i w:val="0"/>
          <w:iCs/>
        </w:rPr>
        <w:t>, 386 F.3d at 1266.</w:t>
      </w:r>
    </w:p>
  </w:footnote>
  <w:footnote w:id="56">
    <w:p w14:paraId="6D5DD1D1" w14:textId="4A80DE00" w:rsidR="001C19DE" w:rsidRPr="000C541E" w:rsidRDefault="001C19DE" w:rsidP="00BE5D97">
      <w:pPr>
        <w:pStyle w:val="FootnoteText"/>
        <w:spacing w:after="0" w:line="220" w:lineRule="exact"/>
        <w:rPr>
          <w:i w:val="0"/>
          <w:iCs/>
        </w:rPr>
      </w:pPr>
      <w:r w:rsidRPr="00183606">
        <w:rPr>
          <w:rStyle w:val="FootnoteReference"/>
          <w:i w:val="0"/>
          <w:iCs/>
        </w:rPr>
        <w:footnoteRef/>
      </w:r>
      <w:r w:rsidRPr="00183606">
        <w:rPr>
          <w:i w:val="0"/>
          <w:iCs/>
        </w:rPr>
        <w:t xml:space="preserve"> </w:t>
      </w:r>
      <w:r w:rsidRPr="00A40557">
        <w:t>Payan</w:t>
      </w:r>
      <w:r w:rsidRPr="000C541E">
        <w:rPr>
          <w:i w:val="0"/>
          <w:iCs/>
        </w:rPr>
        <w:t xml:space="preserve">, 11 F.4th at 738 (citing </w:t>
      </w:r>
      <w:r w:rsidRPr="00A40557">
        <w:t>Tustin Unified Sch. Dist.</w:t>
      </w:r>
      <w:r w:rsidRPr="000C541E">
        <w:rPr>
          <w:i w:val="0"/>
          <w:iCs/>
        </w:rPr>
        <w:t xml:space="preserve">, 725 F.3d </w:t>
      </w:r>
      <w:r w:rsidR="00C24078" w:rsidRPr="000C541E">
        <w:rPr>
          <w:i w:val="0"/>
          <w:iCs/>
        </w:rPr>
        <w:t>at</w:t>
      </w:r>
      <w:r w:rsidRPr="000C541E">
        <w:rPr>
          <w:i w:val="0"/>
          <w:iCs/>
        </w:rPr>
        <w:t xml:space="preserve"> 1102 (citing</w:t>
      </w:r>
      <w:r w:rsidR="00A40557">
        <w:rPr>
          <w:i w:val="0"/>
          <w:iCs/>
        </w:rPr>
        <w:t xml:space="preserve"> </w:t>
      </w:r>
      <w:r w:rsidRPr="00A40557">
        <w:t>Crowder v. Kitagawa</w:t>
      </w:r>
      <w:r w:rsidRPr="000C541E">
        <w:rPr>
          <w:i w:val="0"/>
          <w:iCs/>
        </w:rPr>
        <w:t>, 81 F.3d 1480, 1484 (9th Cir. 1996)).</w:t>
      </w:r>
    </w:p>
  </w:footnote>
  <w:footnote w:id="57">
    <w:p w14:paraId="505A18D0" w14:textId="5DCD9A4E" w:rsidR="009E47C6" w:rsidRPr="000C541E" w:rsidRDefault="009E47C6" w:rsidP="00BE5D97">
      <w:pPr>
        <w:pStyle w:val="FootnoteText"/>
        <w:spacing w:after="0" w:line="220" w:lineRule="exact"/>
        <w:rPr>
          <w:i w:val="0"/>
          <w:iCs/>
        </w:rPr>
      </w:pPr>
      <w:r w:rsidRPr="00183606">
        <w:rPr>
          <w:rStyle w:val="FootnoteReference"/>
          <w:i w:val="0"/>
          <w:iCs/>
        </w:rPr>
        <w:footnoteRef/>
      </w:r>
      <w:r w:rsidRPr="000C541E">
        <w:rPr>
          <w:i w:val="0"/>
          <w:iCs/>
        </w:rPr>
        <w:t xml:space="preserve"> 28 C.F.R. § 35.130(b)(</w:t>
      </w:r>
      <w:r w:rsidR="00454296" w:rsidRPr="000C541E">
        <w:rPr>
          <w:i w:val="0"/>
          <w:iCs/>
        </w:rPr>
        <w:t>7</w:t>
      </w:r>
      <w:r w:rsidRPr="000C541E">
        <w:rPr>
          <w:i w:val="0"/>
          <w:iCs/>
        </w:rPr>
        <w:t>)(</w:t>
      </w:r>
      <w:proofErr w:type="spellStart"/>
      <w:r w:rsidRPr="000C541E">
        <w:rPr>
          <w:i w:val="0"/>
          <w:iCs/>
        </w:rPr>
        <w:t>i</w:t>
      </w:r>
      <w:proofErr w:type="spellEnd"/>
      <w:r w:rsidRPr="000C541E">
        <w:rPr>
          <w:i w:val="0"/>
          <w:iCs/>
        </w:rPr>
        <w:t>) (2024).</w:t>
      </w:r>
    </w:p>
  </w:footnote>
  <w:footnote w:id="58">
    <w:p w14:paraId="5F0B8A4A" w14:textId="3583016B" w:rsidR="00EC217C" w:rsidRPr="000C541E" w:rsidRDefault="00EC217C" w:rsidP="00BE5D97">
      <w:pPr>
        <w:pStyle w:val="FootnoteText"/>
        <w:spacing w:after="0" w:line="220" w:lineRule="exact"/>
        <w:rPr>
          <w:i w:val="0"/>
          <w:iCs/>
        </w:rPr>
      </w:pPr>
      <w:r w:rsidRPr="00183606">
        <w:rPr>
          <w:rStyle w:val="FootnoteReference"/>
          <w:i w:val="0"/>
          <w:iCs/>
        </w:rPr>
        <w:footnoteRef/>
      </w:r>
      <w:r w:rsidRPr="000C541E">
        <w:rPr>
          <w:i w:val="0"/>
          <w:iCs/>
        </w:rPr>
        <w:t xml:space="preserve"> </w:t>
      </w:r>
      <w:r w:rsidR="00171FC8" w:rsidRPr="000C541E">
        <w:rPr>
          <w:i w:val="0"/>
          <w:iCs/>
        </w:rPr>
        <w:t xml:space="preserve">28 C.F.R. </w:t>
      </w:r>
      <w:r w:rsidRPr="000C541E">
        <w:rPr>
          <w:i w:val="0"/>
          <w:iCs/>
        </w:rPr>
        <w:t>§ 35.130(b)(</w:t>
      </w:r>
      <w:r w:rsidR="00826134" w:rsidRPr="000C541E">
        <w:rPr>
          <w:i w:val="0"/>
          <w:iCs/>
        </w:rPr>
        <w:t>4</w:t>
      </w:r>
      <w:r w:rsidRPr="000C541E">
        <w:rPr>
          <w:i w:val="0"/>
          <w:iCs/>
        </w:rPr>
        <w:t xml:space="preserve">)(ii) (2024). </w:t>
      </w:r>
    </w:p>
  </w:footnote>
  <w:footnote w:id="59">
    <w:p w14:paraId="7C6F868E" w14:textId="6B735458" w:rsidR="00042A64" w:rsidRPr="000C541E" w:rsidRDefault="00042A64" w:rsidP="00BE5D97">
      <w:pPr>
        <w:pStyle w:val="FootnoteText"/>
        <w:spacing w:after="0" w:line="220" w:lineRule="exact"/>
        <w:rPr>
          <w:i w:val="0"/>
          <w:iCs/>
        </w:rPr>
      </w:pPr>
      <w:r w:rsidRPr="00183606">
        <w:rPr>
          <w:rStyle w:val="FootnoteReference"/>
          <w:i w:val="0"/>
          <w:iCs/>
        </w:rPr>
        <w:footnoteRef/>
      </w:r>
      <w:r w:rsidRPr="000C541E">
        <w:rPr>
          <w:i w:val="0"/>
          <w:iCs/>
        </w:rPr>
        <w:t xml:space="preserve"> 28 C</w:t>
      </w:r>
      <w:r w:rsidR="00C24078" w:rsidRPr="000C541E">
        <w:rPr>
          <w:i w:val="0"/>
          <w:iCs/>
        </w:rPr>
        <w:t>.</w:t>
      </w:r>
      <w:r w:rsidRPr="000C541E">
        <w:rPr>
          <w:i w:val="0"/>
          <w:iCs/>
        </w:rPr>
        <w:t>F</w:t>
      </w:r>
      <w:r w:rsidR="00C24078" w:rsidRPr="000C541E">
        <w:rPr>
          <w:i w:val="0"/>
          <w:iCs/>
        </w:rPr>
        <w:t>.</w:t>
      </w:r>
      <w:r w:rsidRPr="000C541E">
        <w:rPr>
          <w:i w:val="0"/>
          <w:iCs/>
        </w:rPr>
        <w:t>R</w:t>
      </w:r>
      <w:r w:rsidR="00C24078" w:rsidRPr="000C541E">
        <w:rPr>
          <w:i w:val="0"/>
          <w:iCs/>
        </w:rPr>
        <w:t>.</w:t>
      </w:r>
      <w:r w:rsidRPr="000C541E">
        <w:rPr>
          <w:i w:val="0"/>
          <w:iCs/>
        </w:rPr>
        <w:t xml:space="preserve"> § 35.130(b)(8</w:t>
      </w:r>
      <w:r w:rsidR="7137271A" w:rsidRPr="000C541E">
        <w:rPr>
          <w:i w:val="0"/>
          <w:iCs/>
        </w:rPr>
        <w:t>) (2024</w:t>
      </w:r>
      <w:r w:rsidRPr="000C541E">
        <w:rPr>
          <w:i w:val="0"/>
          <w:iCs/>
        </w:rPr>
        <w:t>).</w:t>
      </w:r>
    </w:p>
  </w:footnote>
  <w:footnote w:id="60">
    <w:p w14:paraId="618D8784" w14:textId="1E760362" w:rsidR="004A601F" w:rsidRPr="000C541E" w:rsidRDefault="004A601F" w:rsidP="00BE5D97">
      <w:pPr>
        <w:pStyle w:val="FootnoteText"/>
        <w:spacing w:after="0" w:line="220" w:lineRule="exact"/>
        <w:rPr>
          <w:i w:val="0"/>
          <w:iCs/>
        </w:rPr>
      </w:pPr>
      <w:r w:rsidRPr="00183606">
        <w:rPr>
          <w:rStyle w:val="FootnoteReference"/>
          <w:i w:val="0"/>
          <w:iCs/>
        </w:rPr>
        <w:footnoteRef/>
      </w:r>
      <w:r w:rsidRPr="000C541E">
        <w:rPr>
          <w:i w:val="0"/>
          <w:iCs/>
        </w:rPr>
        <w:t xml:space="preserve"> </w:t>
      </w:r>
      <w:r w:rsidRPr="00A40557">
        <w:t>Payan</w:t>
      </w:r>
      <w:r w:rsidRPr="000C541E">
        <w:rPr>
          <w:i w:val="0"/>
          <w:iCs/>
        </w:rPr>
        <w:t>, 11 F.4th at 738 (</w:t>
      </w:r>
      <w:r w:rsidR="003C2351" w:rsidRPr="000C541E">
        <w:rPr>
          <w:i w:val="0"/>
          <w:iCs/>
        </w:rPr>
        <w:t xml:space="preserve">citing </w:t>
      </w:r>
      <w:r w:rsidR="00C24078" w:rsidRPr="00A40557">
        <w:t>Tustin Unified Sch. Dist.</w:t>
      </w:r>
      <w:r w:rsidR="00C24078" w:rsidRPr="000C541E">
        <w:rPr>
          <w:i w:val="0"/>
          <w:iCs/>
        </w:rPr>
        <w:t xml:space="preserve">, </w:t>
      </w:r>
      <w:r w:rsidRPr="000C541E">
        <w:rPr>
          <w:i w:val="0"/>
          <w:iCs/>
        </w:rPr>
        <w:t>725 F.3d at 1102 (citing </w:t>
      </w:r>
      <w:r w:rsidRPr="00A40557">
        <w:t>Crowder</w:t>
      </w:r>
      <w:r w:rsidRPr="000C541E">
        <w:rPr>
          <w:i w:val="0"/>
          <w:iCs/>
        </w:rPr>
        <w:t>, 81 F.3d at 1484)).</w:t>
      </w:r>
    </w:p>
  </w:footnote>
  <w:footnote w:id="61">
    <w:p w14:paraId="42C18361" w14:textId="5E671EA3" w:rsidR="00473822" w:rsidRPr="00AF6496" w:rsidRDefault="00473822" w:rsidP="00BE5D97">
      <w:pPr>
        <w:pStyle w:val="FootnoteText"/>
        <w:spacing w:after="0" w:line="220" w:lineRule="exact"/>
      </w:pPr>
      <w:r w:rsidRPr="00183606">
        <w:rPr>
          <w:rStyle w:val="FootnoteReference"/>
          <w:i w:val="0"/>
          <w:iCs/>
        </w:rPr>
        <w:footnoteRef/>
      </w:r>
      <w:r w:rsidRPr="000C541E">
        <w:rPr>
          <w:i w:val="0"/>
          <w:iCs/>
        </w:rPr>
        <w:t xml:space="preserve"> </w:t>
      </w:r>
      <w:r w:rsidRPr="00A40557">
        <w:t>McGary</w:t>
      </w:r>
      <w:r w:rsidRPr="000C541E">
        <w:rPr>
          <w:i w:val="0"/>
          <w:iCs/>
        </w:rPr>
        <w:t>, 386 F.3d at 1265</w:t>
      </w:r>
      <w:r w:rsidR="00145321" w:rsidRPr="000C541E">
        <w:rPr>
          <w:i w:val="0"/>
          <w:iCs/>
        </w:rPr>
        <w:t>.</w:t>
      </w:r>
    </w:p>
  </w:footnote>
  <w:footnote w:id="62">
    <w:p w14:paraId="726264B0" w14:textId="49A9FC11" w:rsidR="00895566" w:rsidRPr="000C541E" w:rsidRDefault="00895566" w:rsidP="00BE5D97">
      <w:pPr>
        <w:pStyle w:val="FootnoteText"/>
        <w:spacing w:after="0" w:line="220" w:lineRule="exact"/>
        <w:rPr>
          <w:i w:val="0"/>
          <w:iCs/>
        </w:rPr>
      </w:pPr>
      <w:r w:rsidRPr="00A40557">
        <w:rPr>
          <w:rStyle w:val="FootnoteReference"/>
          <w:i w:val="0"/>
          <w:iCs/>
          <w:sz w:val="21"/>
          <w:szCs w:val="21"/>
        </w:rPr>
        <w:footnoteRef/>
      </w:r>
      <w:r w:rsidRPr="000C541E">
        <w:rPr>
          <w:i w:val="0"/>
          <w:iCs/>
        </w:rPr>
        <w:t xml:space="preserve"> </w:t>
      </w:r>
      <w:r w:rsidR="007C47F0" w:rsidRPr="00A40557">
        <w:t>Crowder</w:t>
      </w:r>
      <w:r w:rsidR="007C47F0" w:rsidRPr="000C541E">
        <w:rPr>
          <w:i w:val="0"/>
          <w:iCs/>
        </w:rPr>
        <w:t xml:space="preserve">, 81 F.3d </w:t>
      </w:r>
      <w:r w:rsidR="45084557" w:rsidRPr="000C541E">
        <w:rPr>
          <w:i w:val="0"/>
          <w:iCs/>
        </w:rPr>
        <w:t>at</w:t>
      </w:r>
      <w:r w:rsidR="007C47F0" w:rsidRPr="000C541E">
        <w:rPr>
          <w:i w:val="0"/>
          <w:iCs/>
        </w:rPr>
        <w:t xml:space="preserve"> 1485.</w:t>
      </w:r>
    </w:p>
  </w:footnote>
  <w:footnote w:id="63">
    <w:p w14:paraId="0986C100" w14:textId="1937F77D" w:rsidR="00473822" w:rsidRPr="000C541E" w:rsidRDefault="00473822" w:rsidP="00BE5D97">
      <w:pPr>
        <w:pStyle w:val="FootnoteText"/>
        <w:spacing w:after="0" w:line="220" w:lineRule="exact"/>
        <w:rPr>
          <w:i w:val="0"/>
          <w:iCs/>
        </w:rPr>
      </w:pPr>
      <w:r w:rsidRPr="00A40557">
        <w:rPr>
          <w:rStyle w:val="FootnoteReference"/>
          <w:i w:val="0"/>
          <w:iCs/>
        </w:rPr>
        <w:footnoteRef/>
      </w:r>
      <w:r w:rsidRPr="00A40557">
        <w:rPr>
          <w:i w:val="0"/>
          <w:iCs/>
          <w:sz w:val="40"/>
          <w:szCs w:val="40"/>
        </w:rPr>
        <w:t xml:space="preserve"> </w:t>
      </w:r>
      <w:r w:rsidRPr="00A40557">
        <w:t xml:space="preserve">Wilkey v. </w:t>
      </w:r>
      <w:proofErr w:type="spellStart"/>
      <w:r w:rsidRPr="00A40557">
        <w:t>Cnty</w:t>
      </w:r>
      <w:proofErr w:type="spellEnd"/>
      <w:r w:rsidRPr="00A40557">
        <w:t>. of Orange</w:t>
      </w:r>
      <w:r w:rsidRPr="000C541E">
        <w:rPr>
          <w:i w:val="0"/>
          <w:iCs/>
        </w:rPr>
        <w:t>, 295 F. Supp. 3d 1086, 1092 (C.D. Cal. 2017) (internal citation omitted).</w:t>
      </w:r>
    </w:p>
  </w:footnote>
  <w:footnote w:id="64">
    <w:p w14:paraId="11A6DEF1" w14:textId="337E84B8" w:rsidR="00473822" w:rsidRPr="000C541E" w:rsidRDefault="00473822" w:rsidP="00BE5D97">
      <w:pPr>
        <w:pStyle w:val="FootnoteText"/>
        <w:spacing w:after="0" w:line="220" w:lineRule="exact"/>
        <w:rPr>
          <w:i w:val="0"/>
          <w:iCs/>
        </w:rPr>
      </w:pPr>
      <w:r w:rsidRPr="00A40557">
        <w:rPr>
          <w:rStyle w:val="FootnoteReference"/>
          <w:i w:val="0"/>
          <w:iCs/>
        </w:rPr>
        <w:footnoteRef/>
      </w:r>
      <w:r w:rsidRPr="00A40557">
        <w:rPr>
          <w:i w:val="0"/>
          <w:iCs/>
          <w:sz w:val="40"/>
          <w:szCs w:val="40"/>
        </w:rPr>
        <w:t xml:space="preserve"> </w:t>
      </w:r>
      <w:r w:rsidRPr="00A40557">
        <w:t>Salmon v. Ventura</w:t>
      </w:r>
      <w:r w:rsidRPr="000C541E">
        <w:rPr>
          <w:i w:val="0"/>
          <w:iCs/>
        </w:rPr>
        <w:t xml:space="preserve">, No. 2:19-cv-01878-AC, 2021 U.S. Dist. LEXIS 128302 </w:t>
      </w:r>
      <w:r w:rsidR="00CF2FDC" w:rsidRPr="000C541E">
        <w:rPr>
          <w:i w:val="0"/>
          <w:iCs/>
        </w:rPr>
        <w:t xml:space="preserve">at *9 </w:t>
      </w:r>
      <w:r w:rsidRPr="000C541E">
        <w:rPr>
          <w:i w:val="0"/>
          <w:iCs/>
        </w:rPr>
        <w:t>(D. Or. Feb. 8, 2021) (quoting Crowder, 81 F.3d at 1484).</w:t>
      </w:r>
    </w:p>
  </w:footnote>
  <w:footnote w:id="65">
    <w:p w14:paraId="49C37108" w14:textId="1BEBB5EA" w:rsidR="00473822" w:rsidRPr="000C541E" w:rsidRDefault="00473822" w:rsidP="00BE5D97">
      <w:pPr>
        <w:pStyle w:val="FootnoteText"/>
        <w:spacing w:after="0" w:line="220" w:lineRule="exact"/>
        <w:rPr>
          <w:i w:val="0"/>
          <w:iCs/>
        </w:rPr>
      </w:pPr>
      <w:r w:rsidRPr="00A40557">
        <w:rPr>
          <w:rStyle w:val="FootnoteReference"/>
          <w:i w:val="0"/>
          <w:iCs/>
        </w:rPr>
        <w:footnoteRef/>
      </w:r>
      <w:r w:rsidRPr="00A40557">
        <w:rPr>
          <w:i w:val="0"/>
          <w:iCs/>
          <w:sz w:val="40"/>
          <w:szCs w:val="40"/>
        </w:rPr>
        <w:t xml:space="preserve"> </w:t>
      </w:r>
      <w:r w:rsidRPr="00A40557">
        <w:t>Id.</w:t>
      </w:r>
      <w:r w:rsidRPr="000C541E">
        <w:rPr>
          <w:i w:val="0"/>
          <w:iCs/>
        </w:rPr>
        <w:t xml:space="preserve"> (quoting </w:t>
      </w:r>
      <w:r w:rsidRPr="00A40557">
        <w:t>Alexander v. Choate</w:t>
      </w:r>
      <w:r w:rsidRPr="000C541E">
        <w:rPr>
          <w:i w:val="0"/>
          <w:iCs/>
        </w:rPr>
        <w:t>, 469 U.S. 287, 295, 105 S. Ct. 712, 83 L. Ed. 2d 661 (1985)).</w:t>
      </w:r>
    </w:p>
  </w:footnote>
  <w:footnote w:id="66">
    <w:p w14:paraId="348697AB" w14:textId="77777777" w:rsidR="00B66717" w:rsidRPr="00AF6496" w:rsidRDefault="00B66717" w:rsidP="00BE5D97">
      <w:pPr>
        <w:pStyle w:val="FootnoteText"/>
        <w:spacing w:after="0" w:line="220" w:lineRule="exact"/>
      </w:pPr>
      <w:r w:rsidRPr="00A40557">
        <w:rPr>
          <w:rStyle w:val="FootnoteReference"/>
          <w:i w:val="0"/>
          <w:iCs/>
        </w:rPr>
        <w:footnoteRef/>
      </w:r>
      <w:r w:rsidRPr="00A40557">
        <w:rPr>
          <w:i w:val="0"/>
          <w:iCs/>
          <w:sz w:val="40"/>
          <w:szCs w:val="40"/>
        </w:rPr>
        <w:t xml:space="preserve"> </w:t>
      </w:r>
      <w:r w:rsidRPr="00A40557">
        <w:t xml:space="preserve">See e.g. Weinreich v. L.A. </w:t>
      </w:r>
      <w:proofErr w:type="spellStart"/>
      <w:r w:rsidRPr="00A40557">
        <w:t>Cnty</w:t>
      </w:r>
      <w:proofErr w:type="spellEnd"/>
      <w:r w:rsidRPr="00A40557">
        <w:t>. Metro. Transp. Auth.</w:t>
      </w:r>
      <w:r w:rsidRPr="000C541E">
        <w:rPr>
          <w:i w:val="0"/>
          <w:iCs/>
        </w:rPr>
        <w:t>, 114 F.3d 976 (9th Cir.), </w:t>
      </w:r>
      <w:r w:rsidRPr="00A40557">
        <w:t>cert. denied</w:t>
      </w:r>
      <w:r w:rsidRPr="000C541E">
        <w:rPr>
          <w:i w:val="0"/>
          <w:iCs/>
        </w:rPr>
        <w:t>, 522 U.S. 971, 139 L. Ed. 2d 324, 118 S. Ct. 423 (1997) (declining to find discrimination under the ADA when an individual sought to be exempted from recertifying their disability for reduced transit fares because he could not afford to see a doctor to confirm his disability).</w:t>
      </w:r>
    </w:p>
  </w:footnote>
  <w:footnote w:id="67">
    <w:p w14:paraId="31C99284" w14:textId="1B7EB89A" w:rsidR="00EC217C" w:rsidRPr="00A40557" w:rsidRDefault="00EC217C" w:rsidP="00BE5D97">
      <w:pPr>
        <w:pStyle w:val="FootnoteText"/>
        <w:spacing w:after="0" w:line="220" w:lineRule="exact"/>
        <w:rPr>
          <w:i w:val="0"/>
          <w:iCs/>
        </w:rPr>
      </w:pPr>
      <w:r w:rsidRPr="00A40557">
        <w:rPr>
          <w:rStyle w:val="FootnoteReference"/>
          <w:i w:val="0"/>
          <w:iCs/>
        </w:rPr>
        <w:footnoteRef/>
      </w:r>
      <w:r w:rsidRPr="00A40557">
        <w:rPr>
          <w:i w:val="0"/>
          <w:iCs/>
        </w:rPr>
        <w:t xml:space="preserve"> </w:t>
      </w:r>
      <w:r w:rsidRPr="00A40557">
        <w:t>Bloom</w:t>
      </w:r>
      <w:r w:rsidRPr="00A40557">
        <w:rPr>
          <w:i w:val="0"/>
          <w:iCs/>
        </w:rPr>
        <w:t xml:space="preserve">, 2018 U.S. Dist. LEXIS 243767 at *11 (citing </w:t>
      </w:r>
      <w:r w:rsidRPr="00A40557">
        <w:t>Alexander v. Choate</w:t>
      </w:r>
      <w:r w:rsidRPr="00A40557">
        <w:rPr>
          <w:i w:val="0"/>
          <w:iCs/>
        </w:rPr>
        <w:t>, 469 U.S. at 299, 309).</w:t>
      </w:r>
    </w:p>
  </w:footnote>
  <w:footnote w:id="68">
    <w:p w14:paraId="26E8AB35" w14:textId="3FD8BF12" w:rsidR="00EC217C" w:rsidRPr="000C541E" w:rsidRDefault="00EC217C" w:rsidP="00BE5D97">
      <w:pPr>
        <w:pStyle w:val="FootnoteText"/>
        <w:spacing w:after="0" w:line="220" w:lineRule="exact"/>
        <w:rPr>
          <w:i w:val="0"/>
          <w:iCs/>
        </w:rPr>
      </w:pPr>
      <w:r w:rsidRPr="00A40557">
        <w:rPr>
          <w:rStyle w:val="FootnoteReference"/>
          <w:i w:val="0"/>
          <w:iCs/>
        </w:rPr>
        <w:footnoteRef/>
      </w:r>
      <w:r w:rsidRPr="000C541E">
        <w:rPr>
          <w:i w:val="0"/>
          <w:iCs/>
        </w:rPr>
        <w:t xml:space="preserve"> </w:t>
      </w:r>
      <w:r w:rsidRPr="00A40557">
        <w:t>Id.</w:t>
      </w:r>
      <w:r w:rsidRPr="000C541E">
        <w:rPr>
          <w:i w:val="0"/>
          <w:iCs/>
        </w:rPr>
        <w:t xml:space="preserve"> at *15 (citing Alexander, 469 U.S. at 299, 309).</w:t>
      </w:r>
    </w:p>
  </w:footnote>
  <w:footnote w:id="69">
    <w:p w14:paraId="46FCE1B3" w14:textId="29FACCB6" w:rsidR="00EC217C" w:rsidRPr="000C541E" w:rsidRDefault="00EC217C" w:rsidP="00BE5D97">
      <w:pPr>
        <w:pStyle w:val="FootnoteText"/>
        <w:spacing w:after="0" w:line="220" w:lineRule="exact"/>
        <w:rPr>
          <w:i w:val="0"/>
          <w:iCs/>
        </w:rPr>
      </w:pPr>
      <w:r w:rsidRPr="00A40557">
        <w:rPr>
          <w:rStyle w:val="FootnoteReference"/>
          <w:i w:val="0"/>
          <w:iCs/>
        </w:rPr>
        <w:footnoteRef/>
      </w:r>
      <w:r w:rsidRPr="000C541E">
        <w:rPr>
          <w:i w:val="0"/>
          <w:iCs/>
        </w:rPr>
        <w:t xml:space="preserve"> </w:t>
      </w:r>
      <w:r w:rsidRPr="00A40557">
        <w:t>Id.</w:t>
      </w:r>
      <w:r w:rsidRPr="000C541E">
        <w:rPr>
          <w:i w:val="0"/>
          <w:iCs/>
        </w:rPr>
        <w:t xml:space="preserve"> </w:t>
      </w:r>
    </w:p>
  </w:footnote>
  <w:footnote w:id="70">
    <w:p w14:paraId="59ED4384" w14:textId="5F692413" w:rsidR="003A66E1" w:rsidRPr="000C541E" w:rsidRDefault="003A66E1" w:rsidP="00BE5D97">
      <w:pPr>
        <w:pStyle w:val="FootnoteText"/>
        <w:spacing w:after="0" w:line="220" w:lineRule="exact"/>
        <w:rPr>
          <w:i w:val="0"/>
          <w:iCs/>
        </w:rPr>
      </w:pPr>
      <w:r w:rsidRPr="00A40557">
        <w:rPr>
          <w:rStyle w:val="FootnoteReference"/>
          <w:i w:val="0"/>
          <w:iCs/>
        </w:rPr>
        <w:footnoteRef/>
      </w:r>
      <w:r w:rsidRPr="00A40557">
        <w:rPr>
          <w:i w:val="0"/>
          <w:iCs/>
        </w:rPr>
        <w:t xml:space="preserve"> </w:t>
      </w:r>
      <w:r w:rsidR="001C6CC4" w:rsidRPr="000C541E">
        <w:rPr>
          <w:i w:val="0"/>
          <w:iCs/>
        </w:rPr>
        <w:t xml:space="preserve">Talbot et al., </w:t>
      </w:r>
      <w:r w:rsidR="001C6CC4" w:rsidRPr="00A40557">
        <w:t>supra</w:t>
      </w:r>
      <w:r w:rsidR="001C6CC4" w:rsidRPr="000C541E">
        <w:rPr>
          <w:i w:val="0"/>
          <w:iCs/>
        </w:rPr>
        <w:t xml:space="preserve"> note 34.</w:t>
      </w:r>
    </w:p>
  </w:footnote>
  <w:footnote w:id="71">
    <w:p w14:paraId="6911890E" w14:textId="144BFBD5" w:rsidR="00C91E8A" w:rsidRPr="000C541E" w:rsidRDefault="00ED3ACC" w:rsidP="00BE5D97">
      <w:pPr>
        <w:pStyle w:val="FootnoteText"/>
        <w:spacing w:after="0" w:line="220" w:lineRule="exact"/>
        <w:rPr>
          <w:i w:val="0"/>
          <w:iCs/>
        </w:rPr>
      </w:pPr>
      <w:r w:rsidRPr="00A40557">
        <w:rPr>
          <w:rStyle w:val="FootnoteReference"/>
          <w:i w:val="0"/>
          <w:iCs/>
        </w:rPr>
        <w:footnoteRef/>
      </w:r>
      <w:r w:rsidRPr="000C541E">
        <w:rPr>
          <w:i w:val="0"/>
          <w:iCs/>
        </w:rPr>
        <w:t xml:space="preserve"> </w:t>
      </w:r>
      <w:r w:rsidR="00101556" w:rsidRPr="000C541E">
        <w:rPr>
          <w:i w:val="0"/>
          <w:iCs/>
        </w:rPr>
        <w:t>In the context of the ADA and Section 504, “reasonable accommodation” and “reasonable modification” are often used interchangeably, although modification may sometimes refer to a broader change that impacts more people while accommodation sometimes refers to a change for an individual.</w:t>
      </w:r>
      <w:r w:rsidR="00C91E8A" w:rsidRPr="000C541E">
        <w:rPr>
          <w:i w:val="0"/>
          <w:iCs/>
        </w:rPr>
        <w:t xml:space="preserve"> However, these distinctions are not consistently applied by courts.</w:t>
      </w:r>
      <w:r w:rsidR="00101556" w:rsidRPr="000C541E">
        <w:rPr>
          <w:i w:val="0"/>
          <w:iCs/>
        </w:rPr>
        <w:t xml:space="preserve"> Note, in other contexts such as the Fair Housing laws, the two terms have distinct definitions.</w:t>
      </w:r>
      <w:r w:rsidR="00C91E8A" w:rsidRPr="000C541E">
        <w:rPr>
          <w:i w:val="0"/>
          <w:iCs/>
        </w:rPr>
        <w:t xml:space="preserve"> </w:t>
      </w:r>
      <w:r w:rsidR="00B40F71" w:rsidRPr="000C541E">
        <w:rPr>
          <w:i w:val="0"/>
          <w:iCs/>
        </w:rPr>
        <w:t>For simplicity, reasonable modification is used in this manual</w:t>
      </w:r>
      <w:r w:rsidR="009168CB" w:rsidRPr="000C541E">
        <w:rPr>
          <w:i w:val="0"/>
          <w:iCs/>
        </w:rPr>
        <w:t>.</w:t>
      </w:r>
    </w:p>
  </w:footnote>
  <w:footnote w:id="72">
    <w:p w14:paraId="257592D3" w14:textId="59C9A0A7" w:rsidR="00EC217C" w:rsidRPr="000C541E" w:rsidRDefault="00EC217C" w:rsidP="00BE5D97">
      <w:pPr>
        <w:pStyle w:val="FootnoteText"/>
        <w:spacing w:after="0" w:line="220" w:lineRule="exact"/>
        <w:rPr>
          <w:i w:val="0"/>
          <w:iCs/>
        </w:rPr>
      </w:pPr>
      <w:r w:rsidRPr="00A40557">
        <w:rPr>
          <w:rStyle w:val="FootnoteReference"/>
          <w:i w:val="0"/>
          <w:iCs/>
        </w:rPr>
        <w:footnoteRef/>
      </w:r>
      <w:r w:rsidRPr="000C541E">
        <w:rPr>
          <w:i w:val="0"/>
          <w:iCs/>
        </w:rPr>
        <w:t xml:space="preserve"> 28 </w:t>
      </w:r>
      <w:r w:rsidR="00052AAB" w:rsidRPr="000C541E">
        <w:rPr>
          <w:i w:val="0"/>
          <w:iCs/>
        </w:rPr>
        <w:t>C.F.R. § 35</w:t>
      </w:r>
      <w:r w:rsidRPr="000C541E">
        <w:rPr>
          <w:i w:val="0"/>
          <w:iCs/>
        </w:rPr>
        <w:t>.130(b)(7)(</w:t>
      </w:r>
      <w:proofErr w:type="spellStart"/>
      <w:r w:rsidRPr="000C541E">
        <w:rPr>
          <w:i w:val="0"/>
          <w:iCs/>
        </w:rPr>
        <w:t>i</w:t>
      </w:r>
      <w:proofErr w:type="spellEnd"/>
      <w:r w:rsidRPr="000C541E">
        <w:rPr>
          <w:i w:val="0"/>
          <w:iCs/>
        </w:rPr>
        <w:t xml:space="preserve">) (2024); </w:t>
      </w:r>
      <w:r w:rsidRPr="00A40557">
        <w:t>McGary</w:t>
      </w:r>
      <w:r w:rsidRPr="000C541E">
        <w:rPr>
          <w:i w:val="0"/>
          <w:iCs/>
        </w:rPr>
        <w:t xml:space="preserve">, 386 F.3d </w:t>
      </w:r>
      <w:r w:rsidR="0082276C" w:rsidRPr="000C541E">
        <w:rPr>
          <w:i w:val="0"/>
          <w:iCs/>
        </w:rPr>
        <w:t>at</w:t>
      </w:r>
      <w:r w:rsidRPr="000C541E">
        <w:rPr>
          <w:i w:val="0"/>
          <w:iCs/>
        </w:rPr>
        <w:t xml:space="preserve"> 1265–66.</w:t>
      </w:r>
    </w:p>
  </w:footnote>
  <w:footnote w:id="73">
    <w:p w14:paraId="3991F63E" w14:textId="14A9646E" w:rsidR="00242C53" w:rsidRPr="000C541E" w:rsidRDefault="00242C53" w:rsidP="00BE5D97">
      <w:pPr>
        <w:pStyle w:val="FootnoteText"/>
        <w:spacing w:after="0" w:line="220" w:lineRule="exact"/>
        <w:rPr>
          <w:i w:val="0"/>
          <w:iCs/>
        </w:rPr>
      </w:pPr>
      <w:r w:rsidRPr="00A40557">
        <w:rPr>
          <w:rStyle w:val="FootnoteReference"/>
          <w:i w:val="0"/>
          <w:iCs/>
        </w:rPr>
        <w:footnoteRef/>
      </w:r>
      <w:r w:rsidRPr="00A40557">
        <w:rPr>
          <w:i w:val="0"/>
          <w:iCs/>
        </w:rPr>
        <w:t xml:space="preserve"> </w:t>
      </w:r>
      <w:r w:rsidR="755526CF" w:rsidRPr="00A40557">
        <w:t>Prado v. City of Berkeley</w:t>
      </w:r>
      <w:r w:rsidR="755526CF" w:rsidRPr="000C541E">
        <w:rPr>
          <w:i w:val="0"/>
          <w:iCs/>
        </w:rPr>
        <w:t xml:space="preserve">, No. 23-cv-04537-EMC, 2024 U.S. Dist. LEXIS 139836, at *60-61 (N.D. Cal. Aug. 6, 2024) (quoting </w:t>
      </w:r>
      <w:r w:rsidR="755526CF" w:rsidRPr="00A40557">
        <w:t>Payan</w:t>
      </w:r>
      <w:r w:rsidR="755526CF" w:rsidRPr="000C541E">
        <w:rPr>
          <w:i w:val="0"/>
          <w:iCs/>
        </w:rPr>
        <w:t>, 11 F.4th at 738-739).</w:t>
      </w:r>
    </w:p>
  </w:footnote>
  <w:footnote w:id="74">
    <w:p w14:paraId="2A8E67F8" w14:textId="33E49BB4" w:rsidR="00EC217C" w:rsidRPr="000C541E" w:rsidRDefault="00EC217C" w:rsidP="00BE5D97">
      <w:pPr>
        <w:pStyle w:val="FootnoteText"/>
        <w:spacing w:after="0" w:line="220" w:lineRule="exact"/>
        <w:rPr>
          <w:i w:val="0"/>
          <w:iCs/>
        </w:rPr>
      </w:pPr>
      <w:r w:rsidRPr="00A40557">
        <w:rPr>
          <w:rStyle w:val="FootnoteReference"/>
          <w:i w:val="0"/>
          <w:iCs/>
        </w:rPr>
        <w:footnoteRef/>
      </w:r>
      <w:r w:rsidRPr="000C541E">
        <w:rPr>
          <w:i w:val="0"/>
          <w:iCs/>
        </w:rPr>
        <w:t xml:space="preserve"> 28 C.F.R. § 35.130(b)(7) (2024).</w:t>
      </w:r>
    </w:p>
  </w:footnote>
  <w:footnote w:id="75">
    <w:p w14:paraId="514534E1" w14:textId="11D5CBB6" w:rsidR="001041D5" w:rsidRPr="000C541E" w:rsidRDefault="001041D5" w:rsidP="00BE5D97">
      <w:pPr>
        <w:pStyle w:val="FootnoteText"/>
        <w:spacing w:after="0" w:line="220" w:lineRule="exact"/>
        <w:rPr>
          <w:i w:val="0"/>
          <w:iCs/>
        </w:rPr>
      </w:pPr>
      <w:r w:rsidRPr="00A40557">
        <w:rPr>
          <w:rStyle w:val="FootnoteReference"/>
          <w:i w:val="0"/>
          <w:iCs/>
        </w:rPr>
        <w:footnoteRef/>
      </w:r>
      <w:r w:rsidRPr="00A40557">
        <w:rPr>
          <w:i w:val="0"/>
          <w:iCs/>
        </w:rPr>
        <w:t xml:space="preserve"> </w:t>
      </w:r>
      <w:r w:rsidRPr="00A40557">
        <w:t>Tyson</w:t>
      </w:r>
      <w:r w:rsidRPr="000C541E">
        <w:rPr>
          <w:i w:val="0"/>
          <w:iCs/>
        </w:rPr>
        <w:t xml:space="preserve">, 2024 U.S. Dist. LEXIS 138743, at *16-17 (citing </w:t>
      </w:r>
      <w:r w:rsidRPr="00A40557">
        <w:t>Duvall</w:t>
      </w:r>
      <w:r w:rsidRPr="000C541E">
        <w:rPr>
          <w:i w:val="0"/>
          <w:iCs/>
        </w:rPr>
        <w:t>, 260 F.3d at 1139).</w:t>
      </w:r>
    </w:p>
  </w:footnote>
  <w:footnote w:id="76">
    <w:p w14:paraId="116E82CA" w14:textId="49AD9E7E" w:rsidR="0095750B" w:rsidRPr="00AF6496" w:rsidRDefault="0095750B" w:rsidP="00BE5D97">
      <w:pPr>
        <w:pStyle w:val="FootnoteText"/>
        <w:spacing w:after="0" w:line="220" w:lineRule="exact"/>
      </w:pPr>
      <w:r w:rsidRPr="00A40557">
        <w:rPr>
          <w:rStyle w:val="FootnoteReference"/>
          <w:i w:val="0"/>
          <w:iCs/>
        </w:rPr>
        <w:footnoteRef/>
      </w:r>
      <w:r w:rsidRPr="00A40557">
        <w:rPr>
          <w:i w:val="0"/>
          <w:iCs/>
        </w:rPr>
        <w:t xml:space="preserve"> </w:t>
      </w:r>
      <w:r w:rsidRPr="00F91174">
        <w:t>Wong v. Regents of the Univ. of Cal</w:t>
      </w:r>
      <w:r w:rsidRPr="000C541E">
        <w:rPr>
          <w:i w:val="0"/>
          <w:iCs/>
        </w:rPr>
        <w:t>., 192 F.3d 807, 818 (9th Cir. 1999)</w:t>
      </w:r>
      <w:r w:rsidR="006553A9" w:rsidRPr="000C541E">
        <w:rPr>
          <w:i w:val="0"/>
          <w:iCs/>
        </w:rPr>
        <w:t>.</w:t>
      </w:r>
    </w:p>
  </w:footnote>
  <w:footnote w:id="77">
    <w:p w14:paraId="586B7443" w14:textId="288E7841" w:rsidR="004D5E89" w:rsidRPr="000C541E" w:rsidRDefault="004D5E89" w:rsidP="00BE5D97">
      <w:pPr>
        <w:pStyle w:val="FootnoteText"/>
        <w:spacing w:after="0" w:line="220" w:lineRule="exact"/>
        <w:rPr>
          <w:i w:val="0"/>
          <w:iCs/>
        </w:rPr>
      </w:pPr>
      <w:r w:rsidRPr="00A40557">
        <w:rPr>
          <w:rStyle w:val="FootnoteReference"/>
          <w:i w:val="0"/>
          <w:iCs/>
        </w:rPr>
        <w:footnoteRef/>
      </w:r>
      <w:r w:rsidRPr="00A40557">
        <w:rPr>
          <w:i w:val="0"/>
          <w:iCs/>
        </w:rPr>
        <w:t xml:space="preserve"> </w:t>
      </w:r>
      <w:r w:rsidR="001C725B" w:rsidRPr="000C541E">
        <w:rPr>
          <w:i w:val="0"/>
          <w:iCs/>
        </w:rPr>
        <w:t xml:space="preserve">The interactive process is </w:t>
      </w:r>
      <w:r w:rsidR="00894161" w:rsidRPr="000C541E">
        <w:rPr>
          <w:i w:val="0"/>
          <w:iCs/>
        </w:rPr>
        <w:t xml:space="preserve">an interaction between the requester and public entity to clarify the individual needs of the requester and determine the appropriate accommodation. </w:t>
      </w:r>
      <w:r w:rsidR="00D06542" w:rsidRPr="000C541E">
        <w:rPr>
          <w:i w:val="0"/>
          <w:iCs/>
        </w:rPr>
        <w:t xml:space="preserve">The interactive process is required in certain contexts, such as claims under the Fair Employment and Housing Act or </w:t>
      </w:r>
      <w:r w:rsidR="00C15FA3" w:rsidRPr="000C541E">
        <w:rPr>
          <w:i w:val="0"/>
          <w:iCs/>
        </w:rPr>
        <w:t>Title I of the ADA</w:t>
      </w:r>
      <w:r w:rsidR="002065E6" w:rsidRPr="000C541E">
        <w:rPr>
          <w:i w:val="0"/>
          <w:iCs/>
        </w:rPr>
        <w:t xml:space="preserve">, however, it is not required under Title II. </w:t>
      </w:r>
    </w:p>
  </w:footnote>
  <w:footnote w:id="78">
    <w:p w14:paraId="2B06E783" w14:textId="2161BE37" w:rsidR="005E1C06" w:rsidRPr="000C541E" w:rsidRDefault="005E1C06" w:rsidP="00BE5D97">
      <w:pPr>
        <w:pStyle w:val="FootnoteText"/>
        <w:spacing w:after="0" w:line="220" w:lineRule="exact"/>
        <w:rPr>
          <w:i w:val="0"/>
          <w:iCs/>
        </w:rPr>
      </w:pPr>
      <w:r w:rsidRPr="00A40557">
        <w:rPr>
          <w:rStyle w:val="FootnoteReference"/>
          <w:i w:val="0"/>
          <w:iCs/>
        </w:rPr>
        <w:footnoteRef/>
      </w:r>
      <w:r w:rsidRPr="00A40557">
        <w:rPr>
          <w:i w:val="0"/>
          <w:iCs/>
        </w:rPr>
        <w:t xml:space="preserve"> </w:t>
      </w:r>
      <w:r w:rsidRPr="00554D98">
        <w:t>Prado</w:t>
      </w:r>
      <w:r w:rsidRPr="000C541E">
        <w:rPr>
          <w:i w:val="0"/>
          <w:iCs/>
        </w:rPr>
        <w:t>, 2024 U.S. Dist. LEXIS 139836, at *77 (citing </w:t>
      </w:r>
      <w:r w:rsidR="45084557" w:rsidRPr="00554D98">
        <w:t>Crowder</w:t>
      </w:r>
      <w:r w:rsidR="45084557" w:rsidRPr="000C541E">
        <w:rPr>
          <w:i w:val="0"/>
          <w:iCs/>
        </w:rPr>
        <w:t xml:space="preserve">, 81 F.3d </w:t>
      </w:r>
      <w:r w:rsidR="00F932AD" w:rsidRPr="000C541E">
        <w:rPr>
          <w:i w:val="0"/>
          <w:iCs/>
        </w:rPr>
        <w:t>at</w:t>
      </w:r>
      <w:r w:rsidR="45084557" w:rsidRPr="000C541E">
        <w:rPr>
          <w:i w:val="0"/>
          <w:iCs/>
        </w:rPr>
        <w:t xml:space="preserve"> 1484 (9th Cir. 1996)</w:t>
      </w:r>
      <w:r w:rsidRPr="000C541E">
        <w:rPr>
          <w:i w:val="0"/>
          <w:iCs/>
        </w:rPr>
        <w:t>).</w:t>
      </w:r>
    </w:p>
  </w:footnote>
  <w:footnote w:id="79">
    <w:p w14:paraId="7B3CF8AD" w14:textId="3DCB17D3" w:rsidR="00F93043" w:rsidRPr="000C541E" w:rsidRDefault="00F93043" w:rsidP="00BE5D97">
      <w:pPr>
        <w:pStyle w:val="FootnoteText"/>
        <w:spacing w:after="0" w:line="220" w:lineRule="exact"/>
        <w:rPr>
          <w:i w:val="0"/>
          <w:iCs/>
        </w:rPr>
      </w:pPr>
      <w:r w:rsidRPr="00A40557">
        <w:rPr>
          <w:rStyle w:val="FootnoteReference"/>
          <w:i w:val="0"/>
          <w:iCs/>
        </w:rPr>
        <w:footnoteRef/>
      </w:r>
      <w:r w:rsidRPr="000C541E">
        <w:rPr>
          <w:i w:val="0"/>
          <w:iCs/>
        </w:rPr>
        <w:t xml:space="preserve"> Id. at *76 (quoting </w:t>
      </w:r>
      <w:r w:rsidR="009F0372" w:rsidRPr="00554D98">
        <w:t>Vinson v. Thomas</w:t>
      </w:r>
      <w:r w:rsidR="009F0372" w:rsidRPr="000C541E">
        <w:rPr>
          <w:i w:val="0"/>
          <w:iCs/>
        </w:rPr>
        <w:t>, 288 F.3d 1145, 1154 (9th Cir. 2002)</w:t>
      </w:r>
      <w:r w:rsidR="00554D98">
        <w:rPr>
          <w:i w:val="0"/>
          <w:iCs/>
        </w:rPr>
        <w:t xml:space="preserve"> </w:t>
      </w:r>
      <w:r w:rsidRPr="000C541E">
        <w:rPr>
          <w:i w:val="0"/>
          <w:iCs/>
        </w:rPr>
        <w:t xml:space="preserve">(a public employment case), and "seems reasonable on its face"; Dark v. Curry </w:t>
      </w:r>
      <w:proofErr w:type="spellStart"/>
      <w:r w:rsidRPr="000C541E">
        <w:rPr>
          <w:i w:val="0"/>
          <w:iCs/>
        </w:rPr>
        <w:t>Cnty</w:t>
      </w:r>
      <w:proofErr w:type="spellEnd"/>
      <w:r w:rsidRPr="000C541E">
        <w:rPr>
          <w:i w:val="0"/>
          <w:iCs/>
        </w:rPr>
        <w:t>., 451 F.3d 1078, 1088 (9th Cir. 2006) (an employment case)).</w:t>
      </w:r>
    </w:p>
  </w:footnote>
  <w:footnote w:id="80">
    <w:p w14:paraId="6D1CFEE7" w14:textId="33A92E86" w:rsidR="00F93043" w:rsidRPr="000C541E" w:rsidRDefault="00F93043" w:rsidP="00BE5D97">
      <w:pPr>
        <w:pStyle w:val="FootnoteText"/>
        <w:spacing w:after="0" w:line="220" w:lineRule="exact"/>
        <w:rPr>
          <w:i w:val="0"/>
          <w:iCs/>
        </w:rPr>
      </w:pPr>
      <w:r w:rsidRPr="00A40557">
        <w:rPr>
          <w:rStyle w:val="FootnoteReference"/>
          <w:i w:val="0"/>
          <w:iCs/>
        </w:rPr>
        <w:footnoteRef/>
      </w:r>
      <w:r w:rsidRPr="00A40557">
        <w:rPr>
          <w:i w:val="0"/>
          <w:iCs/>
        </w:rPr>
        <w:t xml:space="preserve"> </w:t>
      </w:r>
      <w:r w:rsidR="00244FA6" w:rsidRPr="00A40557">
        <w:t>Prado</w:t>
      </w:r>
      <w:r w:rsidR="00244FA6" w:rsidRPr="000C541E">
        <w:rPr>
          <w:i w:val="0"/>
          <w:iCs/>
        </w:rPr>
        <w:t xml:space="preserve">, 2024 U.S. Dist. LEXIS 139836, at *76 </w:t>
      </w:r>
      <w:r w:rsidRPr="000C541E">
        <w:rPr>
          <w:i w:val="0"/>
          <w:iCs/>
        </w:rPr>
        <w:t xml:space="preserve">(quoting </w:t>
      </w:r>
      <w:r w:rsidRPr="00554D98">
        <w:t>Vinson</w:t>
      </w:r>
      <w:r w:rsidRPr="000C541E">
        <w:rPr>
          <w:i w:val="0"/>
          <w:iCs/>
        </w:rPr>
        <w:t>, 288 F.3d at 1154).</w:t>
      </w:r>
    </w:p>
  </w:footnote>
  <w:footnote w:id="81">
    <w:p w14:paraId="7220869A" w14:textId="335DDD4F" w:rsidR="389A8BF2" w:rsidRPr="00AF6496" w:rsidRDefault="005157E3" w:rsidP="00BE5D97">
      <w:pPr>
        <w:pStyle w:val="FootnoteText"/>
        <w:spacing w:after="0" w:line="220" w:lineRule="exact"/>
        <w:rPr>
          <w:rFonts w:eastAsia="Aptos" w:cs="Aptos"/>
          <w:sz w:val="20"/>
          <w:szCs w:val="20"/>
        </w:rPr>
      </w:pPr>
      <w:r w:rsidRPr="00554D98">
        <w:rPr>
          <w:rStyle w:val="FootnoteReference"/>
          <w:i w:val="0"/>
          <w:iCs/>
        </w:rPr>
        <w:footnoteRef/>
      </w:r>
      <w:r w:rsidRPr="000C541E">
        <w:rPr>
          <w:i w:val="0"/>
          <w:iCs/>
        </w:rPr>
        <w:t xml:space="preserve"> </w:t>
      </w:r>
      <w:r w:rsidR="389A8BF2" w:rsidRPr="00554D98">
        <w:t xml:space="preserve">Where Do We Go Berkeley v. </w:t>
      </w:r>
      <w:proofErr w:type="spellStart"/>
      <w:r w:rsidR="389A8BF2" w:rsidRPr="00554D98">
        <w:t>Dep't</w:t>
      </w:r>
      <w:proofErr w:type="spellEnd"/>
      <w:r w:rsidR="389A8BF2" w:rsidRPr="00554D98">
        <w:t xml:space="preserve"> of Transp.</w:t>
      </w:r>
      <w:r w:rsidR="389A8BF2" w:rsidRPr="000C541E">
        <w:rPr>
          <w:i w:val="0"/>
          <w:iCs/>
        </w:rPr>
        <w:t>, 32 F.4th 852, 861 (9th Cir. 2022).</w:t>
      </w:r>
    </w:p>
  </w:footnote>
  <w:footnote w:id="82">
    <w:p w14:paraId="3CDAE42F" w14:textId="77777777" w:rsidR="00795961" w:rsidRPr="000C541E" w:rsidRDefault="00795961" w:rsidP="00BE5D97">
      <w:pPr>
        <w:pStyle w:val="FootnoteText"/>
        <w:spacing w:after="0" w:line="220" w:lineRule="exact"/>
        <w:rPr>
          <w:i w:val="0"/>
          <w:iCs/>
        </w:rPr>
      </w:pPr>
      <w:r w:rsidRPr="00554D98">
        <w:rPr>
          <w:rStyle w:val="FootnoteReference"/>
          <w:i w:val="0"/>
          <w:iCs/>
        </w:rPr>
        <w:footnoteRef/>
      </w:r>
      <w:r w:rsidRPr="000C541E">
        <w:rPr>
          <w:i w:val="0"/>
          <w:iCs/>
        </w:rPr>
        <w:t xml:space="preserve"> </w:t>
      </w:r>
      <w:r w:rsidRPr="00554D98">
        <w:t>Boyd v. City of San Rafael</w:t>
      </w:r>
      <w:r w:rsidRPr="000C541E">
        <w:rPr>
          <w:i w:val="0"/>
          <w:iCs/>
        </w:rPr>
        <w:t>, No. 23-cv-04085-EMC, 2023 U.S. Dist. LEXIS 188335, at *5 (N.D. Cal. Oct. 19, 2023).</w:t>
      </w:r>
    </w:p>
  </w:footnote>
  <w:footnote w:id="83">
    <w:p w14:paraId="3470B132" w14:textId="77777777" w:rsidR="00795961" w:rsidRPr="000C541E" w:rsidRDefault="00795961" w:rsidP="00BE5D97">
      <w:pPr>
        <w:pStyle w:val="FootnoteText"/>
        <w:spacing w:after="0" w:line="220" w:lineRule="exact"/>
        <w:rPr>
          <w:i w:val="0"/>
          <w:iCs/>
        </w:rPr>
      </w:pPr>
      <w:r w:rsidRPr="00554D98">
        <w:rPr>
          <w:rStyle w:val="FootnoteReference"/>
          <w:i w:val="0"/>
          <w:iCs/>
        </w:rPr>
        <w:footnoteRef/>
      </w:r>
      <w:r w:rsidRPr="000C541E">
        <w:rPr>
          <w:i w:val="0"/>
          <w:iCs/>
        </w:rPr>
        <w:t xml:space="preserve"> </w:t>
      </w:r>
      <w:r w:rsidRPr="00554D98">
        <w:t>Id.</w:t>
      </w:r>
      <w:r w:rsidRPr="000C541E">
        <w:rPr>
          <w:i w:val="0"/>
          <w:iCs/>
        </w:rPr>
        <w:t xml:space="preserve"> at 71.</w:t>
      </w:r>
    </w:p>
  </w:footnote>
  <w:footnote w:id="84">
    <w:p w14:paraId="624AA800" w14:textId="77777777" w:rsidR="00795961" w:rsidRPr="000C541E" w:rsidRDefault="00795961" w:rsidP="00BE5D97">
      <w:pPr>
        <w:pStyle w:val="FootnoteText"/>
        <w:spacing w:after="0" w:line="220" w:lineRule="exact"/>
        <w:rPr>
          <w:i w:val="0"/>
          <w:iCs/>
          <w:u w:val="single"/>
        </w:rPr>
      </w:pPr>
      <w:r w:rsidRPr="00554D98">
        <w:rPr>
          <w:rStyle w:val="FootnoteReference"/>
          <w:i w:val="0"/>
          <w:iCs/>
        </w:rPr>
        <w:footnoteRef/>
      </w:r>
      <w:r w:rsidRPr="000C541E">
        <w:rPr>
          <w:i w:val="0"/>
          <w:iCs/>
        </w:rPr>
        <w:t xml:space="preserve"> </w:t>
      </w:r>
      <w:r w:rsidRPr="00554D98">
        <w:t>Id.</w:t>
      </w:r>
    </w:p>
  </w:footnote>
  <w:footnote w:id="85">
    <w:p w14:paraId="651BE3DC" w14:textId="77777777" w:rsidR="00795961" w:rsidRPr="000C541E" w:rsidRDefault="00795961" w:rsidP="00BE5D97">
      <w:pPr>
        <w:pStyle w:val="FootnoteText"/>
        <w:spacing w:after="0" w:line="220" w:lineRule="exact"/>
        <w:rPr>
          <w:i w:val="0"/>
          <w:iCs/>
          <w:u w:val="single"/>
        </w:rPr>
      </w:pPr>
      <w:r w:rsidRPr="00554D98">
        <w:rPr>
          <w:rStyle w:val="FootnoteReference"/>
          <w:i w:val="0"/>
          <w:iCs/>
        </w:rPr>
        <w:footnoteRef/>
      </w:r>
      <w:r w:rsidRPr="000C541E">
        <w:rPr>
          <w:i w:val="0"/>
          <w:iCs/>
        </w:rPr>
        <w:t xml:space="preserve"> </w:t>
      </w:r>
      <w:r w:rsidRPr="00554D98">
        <w:t>Id.</w:t>
      </w:r>
    </w:p>
  </w:footnote>
  <w:footnote w:id="86">
    <w:p w14:paraId="7A016348" w14:textId="77777777" w:rsidR="00795961" w:rsidRPr="000C541E" w:rsidRDefault="00795961" w:rsidP="00BE5D97">
      <w:pPr>
        <w:pStyle w:val="FootnoteText"/>
        <w:spacing w:after="0" w:line="220" w:lineRule="exact"/>
        <w:rPr>
          <w:i w:val="0"/>
          <w:iCs/>
        </w:rPr>
      </w:pPr>
      <w:r w:rsidRPr="00554D98">
        <w:rPr>
          <w:rStyle w:val="FootnoteReference"/>
          <w:i w:val="0"/>
          <w:iCs/>
        </w:rPr>
        <w:footnoteRef/>
      </w:r>
      <w:r w:rsidRPr="000C541E">
        <w:rPr>
          <w:i w:val="0"/>
          <w:iCs/>
        </w:rPr>
        <w:t xml:space="preserve"> </w:t>
      </w:r>
      <w:r w:rsidRPr="00554D98">
        <w:t>Id.</w:t>
      </w:r>
      <w:r w:rsidRPr="000C541E">
        <w:rPr>
          <w:i w:val="0"/>
          <w:iCs/>
        </w:rPr>
        <w:t xml:space="preserve"> at 75.</w:t>
      </w:r>
    </w:p>
  </w:footnote>
  <w:footnote w:id="87">
    <w:p w14:paraId="224AC4BC" w14:textId="77777777" w:rsidR="00795961" w:rsidRPr="00AF6496" w:rsidRDefault="00795961" w:rsidP="00BE5D97">
      <w:pPr>
        <w:pStyle w:val="FootnoteText"/>
        <w:spacing w:after="0" w:line="220" w:lineRule="exact"/>
        <w:rPr>
          <w:u w:val="single"/>
        </w:rPr>
      </w:pPr>
      <w:r w:rsidRPr="00554D98">
        <w:rPr>
          <w:rStyle w:val="FootnoteReference"/>
          <w:i w:val="0"/>
          <w:iCs/>
        </w:rPr>
        <w:footnoteRef/>
      </w:r>
      <w:r w:rsidRPr="000C541E">
        <w:rPr>
          <w:i w:val="0"/>
          <w:iCs/>
        </w:rPr>
        <w:t xml:space="preserve"> </w:t>
      </w:r>
      <w:r w:rsidRPr="00554D98">
        <w:t>Id.</w:t>
      </w:r>
      <w:r w:rsidRPr="000C541E">
        <w:rPr>
          <w:i w:val="0"/>
          <w:iCs/>
        </w:rPr>
        <w:t xml:space="preserve"> at 69.</w:t>
      </w:r>
    </w:p>
  </w:footnote>
  <w:footnote w:id="88">
    <w:p w14:paraId="4014DDBD" w14:textId="12DF1E67" w:rsidR="00EC217C" w:rsidRPr="000C541E" w:rsidRDefault="00EC217C" w:rsidP="00BE5D97">
      <w:pPr>
        <w:pStyle w:val="FootnoteText"/>
        <w:spacing w:after="0" w:line="220" w:lineRule="exact"/>
        <w:rPr>
          <w:i w:val="0"/>
          <w:iCs/>
        </w:rPr>
      </w:pPr>
      <w:r w:rsidRPr="00370CAD">
        <w:rPr>
          <w:rStyle w:val="FootnoteReference"/>
          <w:i w:val="0"/>
          <w:iCs/>
        </w:rPr>
        <w:footnoteRef/>
      </w:r>
      <w:r w:rsidRPr="000C541E">
        <w:rPr>
          <w:i w:val="0"/>
          <w:iCs/>
        </w:rPr>
        <w:t xml:space="preserve"> </w:t>
      </w:r>
      <w:r w:rsidRPr="00370CAD">
        <w:rPr>
          <w:color w:val="000000"/>
          <w:bdr w:val="none" w:sz="0" w:space="0" w:color="auto" w:frame="1"/>
          <w:shd w:val="clear" w:color="auto" w:fill="FFFFFF"/>
        </w:rPr>
        <w:t>Cooley v. City of L.A.</w:t>
      </w:r>
      <w:r w:rsidRPr="000C541E">
        <w:rPr>
          <w:i w:val="0"/>
          <w:iCs/>
          <w:color w:val="000000"/>
          <w:bdr w:val="none" w:sz="0" w:space="0" w:color="auto" w:frame="1"/>
          <w:shd w:val="clear" w:color="auto" w:fill="FFFFFF"/>
        </w:rPr>
        <w:t>, No. 2:18-cv-09053-CAS-PLA, 2019 U.S. Dist. LEXIS 135877 (C.D. Cal. Aug. 5, 2019)</w:t>
      </w:r>
      <w:r w:rsidR="00924FF7" w:rsidRPr="000C541E">
        <w:rPr>
          <w:i w:val="0"/>
          <w:iCs/>
        </w:rPr>
        <w:t>; accord 42 U.S.C. § 12132</w:t>
      </w:r>
      <w:r w:rsidR="00F91174">
        <w:rPr>
          <w:i w:val="0"/>
          <w:iCs/>
        </w:rPr>
        <w:t xml:space="preserve"> (2024)</w:t>
      </w:r>
      <w:r w:rsidR="00924FF7" w:rsidRPr="000C541E">
        <w:rPr>
          <w:i w:val="0"/>
          <w:iCs/>
        </w:rPr>
        <w:t xml:space="preserve"> (unlawful discrimination for disabled person to be “denied the benefits of the services, programs, or activities of a public entity, or be subjected to discrimination by any such entity”); 28 C.F.R. § 35.130(a)(</w:t>
      </w:r>
      <w:r w:rsidR="7137271A" w:rsidRPr="000C541E">
        <w:rPr>
          <w:i w:val="0"/>
          <w:iCs/>
        </w:rPr>
        <w:t>2024) (</w:t>
      </w:r>
      <w:r w:rsidR="00924FF7" w:rsidRPr="000C541E">
        <w:rPr>
          <w:i w:val="0"/>
          <w:iCs/>
        </w:rPr>
        <w:t xml:space="preserve">same); 28 C.F.R. </w:t>
      </w:r>
      <w:r w:rsidR="7137271A" w:rsidRPr="000C541E">
        <w:rPr>
          <w:i w:val="0"/>
          <w:iCs/>
        </w:rPr>
        <w:t>a</w:t>
      </w:r>
      <w:r w:rsidR="00924FF7" w:rsidRPr="000C541E">
        <w:rPr>
          <w:i w:val="0"/>
          <w:iCs/>
        </w:rPr>
        <w:t>pp. at § </w:t>
      </w:r>
      <w:r w:rsidR="007E701C" w:rsidRPr="000C541E">
        <w:rPr>
          <w:i w:val="0"/>
          <w:iCs/>
        </w:rPr>
        <w:t xml:space="preserve">35.102 </w:t>
      </w:r>
      <w:r w:rsidR="7137271A" w:rsidRPr="000C541E">
        <w:rPr>
          <w:i w:val="0"/>
          <w:iCs/>
        </w:rPr>
        <w:t xml:space="preserve">(2024) </w:t>
      </w:r>
      <w:r w:rsidR="007E701C" w:rsidRPr="000C541E">
        <w:rPr>
          <w:i w:val="0"/>
          <w:iCs/>
        </w:rPr>
        <w:t>(“title II applies to anything a public entity does”)</w:t>
      </w:r>
      <w:r w:rsidRPr="000C541E">
        <w:rPr>
          <w:i w:val="0"/>
          <w:iCs/>
          <w:color w:val="000000"/>
          <w:bdr w:val="none" w:sz="0" w:space="0" w:color="auto" w:frame="1"/>
          <w:shd w:val="clear" w:color="auto" w:fill="FFFFFF"/>
        </w:rPr>
        <w:t>.</w:t>
      </w:r>
    </w:p>
  </w:footnote>
  <w:footnote w:id="89">
    <w:p w14:paraId="7B8B720D" w14:textId="242099ED" w:rsidR="00EC217C" w:rsidRPr="000C541E" w:rsidRDefault="00EC217C" w:rsidP="00BE5D97">
      <w:pPr>
        <w:pStyle w:val="FootnoteText"/>
        <w:spacing w:after="0" w:line="220" w:lineRule="exact"/>
        <w:rPr>
          <w:i w:val="0"/>
          <w:iCs/>
        </w:rPr>
      </w:pPr>
      <w:r w:rsidRPr="00370CAD">
        <w:rPr>
          <w:rStyle w:val="FootnoteReference"/>
          <w:i w:val="0"/>
          <w:iCs/>
        </w:rPr>
        <w:footnoteRef/>
      </w:r>
      <w:r w:rsidRPr="00370CAD">
        <w:rPr>
          <w:i w:val="0"/>
          <w:iCs/>
        </w:rPr>
        <w:t xml:space="preserve"> </w:t>
      </w:r>
      <w:r w:rsidR="7137271A" w:rsidRPr="00370CAD">
        <w:t>McGary</w:t>
      </w:r>
      <w:r w:rsidR="7137271A" w:rsidRPr="000C541E">
        <w:rPr>
          <w:i w:val="0"/>
          <w:iCs/>
        </w:rPr>
        <w:t xml:space="preserve">, 386 F.3d </w:t>
      </w:r>
      <w:r w:rsidR="002259F6" w:rsidRPr="000C541E">
        <w:rPr>
          <w:i w:val="0"/>
          <w:iCs/>
        </w:rPr>
        <w:t>at</w:t>
      </w:r>
      <w:r w:rsidR="7137271A" w:rsidRPr="000C541E">
        <w:rPr>
          <w:i w:val="0"/>
          <w:iCs/>
        </w:rPr>
        <w:t xml:space="preserve"> 1269</w:t>
      </w:r>
      <w:r w:rsidR="00AC6806" w:rsidRPr="000C541E">
        <w:rPr>
          <w:i w:val="0"/>
          <w:iCs/>
        </w:rPr>
        <w:t xml:space="preserve"> (quoting 28 C.F.R. pt. 35, app. </w:t>
      </w:r>
      <w:proofErr w:type="gramStart"/>
      <w:r w:rsidR="00AC6806" w:rsidRPr="000C541E">
        <w:rPr>
          <w:i w:val="0"/>
          <w:iCs/>
        </w:rPr>
        <w:t>A,</w:t>
      </w:r>
      <w:proofErr w:type="gramEnd"/>
      <w:r w:rsidR="00AC6806" w:rsidRPr="000C541E">
        <w:rPr>
          <w:i w:val="0"/>
          <w:iCs/>
        </w:rPr>
        <w:t xml:space="preserve"> subpart B);</w:t>
      </w:r>
      <w:r w:rsidR="00655757" w:rsidRPr="000C541E">
        <w:rPr>
          <w:i w:val="0"/>
          <w:iCs/>
        </w:rPr>
        <w:t xml:space="preserve"> see also </w:t>
      </w:r>
      <w:r w:rsidR="00655757" w:rsidRPr="00370CAD">
        <w:t xml:space="preserve">Sheehan v. City &amp; </w:t>
      </w:r>
      <w:proofErr w:type="spellStart"/>
      <w:r w:rsidR="7137271A" w:rsidRPr="00370CAD">
        <w:t>Cnty</w:t>
      </w:r>
      <w:proofErr w:type="spellEnd"/>
      <w:r w:rsidR="00655757" w:rsidRPr="00370CAD">
        <w:t>. of S.F.</w:t>
      </w:r>
      <w:r w:rsidR="00655757" w:rsidRPr="000C541E">
        <w:rPr>
          <w:i w:val="0"/>
          <w:iCs/>
        </w:rPr>
        <w:t xml:space="preserve">, 743 F.3d </w:t>
      </w:r>
      <w:r w:rsidR="7137271A" w:rsidRPr="000C541E">
        <w:rPr>
          <w:i w:val="0"/>
          <w:iCs/>
        </w:rPr>
        <w:t>1211</w:t>
      </w:r>
      <w:r w:rsidR="00655757" w:rsidRPr="000C541E">
        <w:rPr>
          <w:i w:val="0"/>
          <w:iCs/>
        </w:rPr>
        <w:t xml:space="preserve">, 1217 (9th Cir. 2014) (holding Title II of the ADA applies to arrests) (reversed on different grounds by </w:t>
      </w:r>
      <w:r w:rsidR="00655757" w:rsidRPr="00370CAD">
        <w:t xml:space="preserve">City &amp; </w:t>
      </w:r>
      <w:proofErr w:type="spellStart"/>
      <w:r w:rsidR="7137271A" w:rsidRPr="00370CAD">
        <w:t>Cnty</w:t>
      </w:r>
      <w:proofErr w:type="spellEnd"/>
      <w:r w:rsidR="7137271A" w:rsidRPr="00370CAD">
        <w:t>.</w:t>
      </w:r>
      <w:r w:rsidR="00655757" w:rsidRPr="00370CAD">
        <w:t xml:space="preserve"> of S.F. v. Sheehan</w:t>
      </w:r>
      <w:r w:rsidR="00655757" w:rsidRPr="000C541E">
        <w:rPr>
          <w:i w:val="0"/>
          <w:iCs/>
        </w:rPr>
        <w:t>, 575 U.S. 600, 135 S. Ct. 1765 (2015</w:t>
      </w:r>
      <w:r w:rsidR="7137271A" w:rsidRPr="000C541E">
        <w:rPr>
          <w:i w:val="0"/>
          <w:iCs/>
        </w:rPr>
        <w:t>)).</w:t>
      </w:r>
    </w:p>
  </w:footnote>
  <w:footnote w:id="90">
    <w:p w14:paraId="1F0EC2D0" w14:textId="11BDD618" w:rsidR="00B66717" w:rsidRPr="000C541E" w:rsidRDefault="00B66717" w:rsidP="00BE5D97">
      <w:pPr>
        <w:pStyle w:val="FootnoteText"/>
        <w:spacing w:after="0" w:line="220" w:lineRule="exact"/>
        <w:rPr>
          <w:i w:val="0"/>
          <w:iCs/>
        </w:rPr>
      </w:pPr>
      <w:r w:rsidRPr="00370CAD">
        <w:rPr>
          <w:rStyle w:val="FootnoteReference"/>
          <w:i w:val="0"/>
          <w:iCs/>
        </w:rPr>
        <w:footnoteRef/>
      </w:r>
      <w:r w:rsidRPr="00370CAD">
        <w:rPr>
          <w:i w:val="0"/>
          <w:iCs/>
        </w:rPr>
        <w:t xml:space="preserve"> </w:t>
      </w:r>
      <w:r w:rsidRPr="00370CAD">
        <w:t>Prado</w:t>
      </w:r>
      <w:r w:rsidRPr="000C541E">
        <w:rPr>
          <w:i w:val="0"/>
          <w:iCs/>
        </w:rPr>
        <w:t xml:space="preserve">, 2024 U.S. Dist. LEXIS 139836, at *62 (quoting </w:t>
      </w:r>
      <w:r w:rsidRPr="00370CAD">
        <w:t>McGary</w:t>
      </w:r>
      <w:r w:rsidRPr="000C541E">
        <w:rPr>
          <w:i w:val="0"/>
          <w:iCs/>
        </w:rPr>
        <w:t>, 386 F.3d at 1266).</w:t>
      </w:r>
    </w:p>
  </w:footnote>
  <w:footnote w:id="91">
    <w:p w14:paraId="2FA35E20" w14:textId="17A23791" w:rsidR="00EC217C" w:rsidRPr="00AF6496" w:rsidRDefault="00EC217C" w:rsidP="00BE5D97">
      <w:pPr>
        <w:pStyle w:val="FootnoteText"/>
        <w:spacing w:after="0" w:line="220" w:lineRule="exact"/>
      </w:pPr>
      <w:r w:rsidRPr="00370CAD">
        <w:rPr>
          <w:rStyle w:val="FootnoteReference"/>
          <w:i w:val="0"/>
          <w:iCs/>
        </w:rPr>
        <w:footnoteRef/>
      </w:r>
      <w:r w:rsidRPr="00370CAD">
        <w:rPr>
          <w:i w:val="0"/>
          <w:iCs/>
        </w:rPr>
        <w:t xml:space="preserve"> </w:t>
      </w:r>
      <w:r w:rsidRPr="00370CAD">
        <w:rPr>
          <w:bdr w:val="none" w:sz="0" w:space="0" w:color="auto" w:frame="1"/>
          <w:shd w:val="clear" w:color="auto" w:fill="FFFFFF"/>
        </w:rPr>
        <w:t>Cooley</w:t>
      </w:r>
      <w:r w:rsidRPr="000C541E">
        <w:rPr>
          <w:i w:val="0"/>
          <w:iCs/>
          <w:bdr w:val="none" w:sz="0" w:space="0" w:color="auto" w:frame="1"/>
          <w:shd w:val="clear" w:color="auto" w:fill="FFFFFF"/>
        </w:rPr>
        <w:t>, 2019 U.S. Dist. LEXIS 135877, at * 4.</w:t>
      </w:r>
    </w:p>
  </w:footnote>
  <w:footnote w:id="92">
    <w:p w14:paraId="295EBFC7" w14:textId="453A7D75" w:rsidR="00EC217C" w:rsidRPr="000C541E" w:rsidRDefault="00EC217C" w:rsidP="00BE5D97">
      <w:pPr>
        <w:pStyle w:val="FootnoteText"/>
        <w:spacing w:after="0" w:line="220" w:lineRule="exact"/>
        <w:rPr>
          <w:i w:val="0"/>
          <w:iCs/>
        </w:rPr>
      </w:pPr>
      <w:r w:rsidRPr="00370CAD">
        <w:rPr>
          <w:rStyle w:val="FootnoteReference"/>
          <w:i w:val="0"/>
          <w:iCs/>
        </w:rPr>
        <w:footnoteRef/>
      </w:r>
      <w:r w:rsidRPr="000C541E">
        <w:rPr>
          <w:i w:val="0"/>
          <w:iCs/>
        </w:rPr>
        <w:t xml:space="preserve"> </w:t>
      </w:r>
      <w:r w:rsidRPr="00370CAD">
        <w:rPr>
          <w:bdr w:val="none" w:sz="0" w:space="0" w:color="auto" w:frame="1"/>
          <w:shd w:val="clear" w:color="auto" w:fill="FFFFFF"/>
        </w:rPr>
        <w:t>Id.</w:t>
      </w:r>
      <w:r w:rsidRPr="000C541E">
        <w:rPr>
          <w:i w:val="0"/>
          <w:iCs/>
          <w:bdr w:val="none" w:sz="0" w:space="0" w:color="auto" w:frame="1"/>
          <w:shd w:val="clear" w:color="auto" w:fill="FFFFFF"/>
        </w:rPr>
        <w:t xml:space="preserve">; </w:t>
      </w:r>
      <w:r w:rsidRPr="00370CAD">
        <w:rPr>
          <w:bdr w:val="none" w:sz="0" w:space="0" w:color="auto" w:frame="1"/>
          <w:shd w:val="clear" w:color="auto" w:fill="FFFFFF"/>
        </w:rPr>
        <w:t>see also</w:t>
      </w:r>
      <w:r w:rsidRPr="000C541E">
        <w:rPr>
          <w:i w:val="0"/>
          <w:iCs/>
          <w:bdr w:val="none" w:sz="0" w:space="0" w:color="auto" w:frame="1"/>
          <w:shd w:val="clear" w:color="auto" w:fill="FFFFFF"/>
        </w:rPr>
        <w:t xml:space="preserve"> </w:t>
      </w:r>
      <w:r w:rsidRPr="00370CAD">
        <w:rPr>
          <w:bdr w:val="none" w:sz="0" w:space="0" w:color="auto" w:frame="1"/>
          <w:shd w:val="clear" w:color="auto" w:fill="FFFFFF"/>
        </w:rPr>
        <w:t>Langley v. City of San Luis Obispo</w:t>
      </w:r>
      <w:r w:rsidRPr="000C541E">
        <w:rPr>
          <w:i w:val="0"/>
          <w:iCs/>
          <w:bdr w:val="none" w:sz="0" w:space="0" w:color="auto" w:frame="1"/>
          <w:shd w:val="clear" w:color="auto" w:fill="FFFFFF"/>
        </w:rPr>
        <w:t>, No. CV 21-07479-CJC (</w:t>
      </w:r>
      <w:proofErr w:type="spellStart"/>
      <w:r w:rsidRPr="000C541E">
        <w:rPr>
          <w:i w:val="0"/>
          <w:iCs/>
          <w:bdr w:val="none" w:sz="0" w:space="0" w:color="auto" w:frame="1"/>
          <w:shd w:val="clear" w:color="auto" w:fill="FFFFFF"/>
        </w:rPr>
        <w:t>ADSx</w:t>
      </w:r>
      <w:proofErr w:type="spellEnd"/>
      <w:r w:rsidRPr="000C541E">
        <w:rPr>
          <w:i w:val="0"/>
          <w:iCs/>
          <w:bdr w:val="none" w:sz="0" w:space="0" w:color="auto" w:frame="1"/>
          <w:shd w:val="clear" w:color="auto" w:fill="FFFFFF"/>
        </w:rPr>
        <w:t>), 2022 WL 18585987, at *</w:t>
      </w:r>
      <w:r w:rsidR="007F0073" w:rsidRPr="000C541E">
        <w:rPr>
          <w:i w:val="0"/>
          <w:iCs/>
          <w:bdr w:val="none" w:sz="0" w:space="0" w:color="auto" w:frame="1"/>
          <w:shd w:val="clear" w:color="auto" w:fill="FFFFFF"/>
        </w:rPr>
        <w:t>12</w:t>
      </w:r>
      <w:r w:rsidRPr="000C541E">
        <w:rPr>
          <w:i w:val="0"/>
          <w:iCs/>
          <w:bdr w:val="none" w:sz="0" w:space="0" w:color="auto" w:frame="1"/>
          <w:shd w:val="clear" w:color="auto" w:fill="FFFFFF"/>
        </w:rPr>
        <w:t xml:space="preserve"> (C.D. Cal. Feb. 7, 2022) (finding that the plaintiffs “had sufficiently alleged that the City's sweeps and property seizures discriminate against people with mental and physical disabilities because such people are likely to suffer aggravated effects from the City's sweeps and property seizures, and because the City fails to provide reasonable accommodations based on disabilities.”).</w:t>
      </w:r>
    </w:p>
  </w:footnote>
  <w:footnote w:id="93">
    <w:p w14:paraId="646D970F" w14:textId="66F8AC45" w:rsidR="00451884" w:rsidRPr="000C541E" w:rsidRDefault="00451884" w:rsidP="00BE5D97">
      <w:pPr>
        <w:pStyle w:val="FootnoteText"/>
        <w:spacing w:after="0" w:line="220" w:lineRule="exact"/>
        <w:rPr>
          <w:i w:val="0"/>
          <w:iCs/>
        </w:rPr>
      </w:pPr>
      <w:r w:rsidRPr="00370CAD">
        <w:rPr>
          <w:rStyle w:val="FootnoteReference"/>
          <w:i w:val="0"/>
          <w:iCs/>
        </w:rPr>
        <w:footnoteRef/>
      </w:r>
      <w:r w:rsidRPr="000C541E">
        <w:rPr>
          <w:i w:val="0"/>
          <w:iCs/>
        </w:rPr>
        <w:t xml:space="preserve"> </w:t>
      </w:r>
      <w:r w:rsidRPr="00370CAD">
        <w:t>Prado</w:t>
      </w:r>
      <w:r w:rsidRPr="000C541E">
        <w:rPr>
          <w:i w:val="0"/>
          <w:iCs/>
        </w:rPr>
        <w:t>, 2024 U.S. Dist. LEXIS 139836, at *</w:t>
      </w:r>
      <w:r w:rsidR="00CC5E20" w:rsidRPr="000C541E">
        <w:rPr>
          <w:i w:val="0"/>
          <w:iCs/>
        </w:rPr>
        <w:t>69</w:t>
      </w:r>
      <w:r w:rsidRPr="000C541E">
        <w:rPr>
          <w:i w:val="0"/>
          <w:iCs/>
        </w:rPr>
        <w:t>.</w:t>
      </w:r>
    </w:p>
  </w:footnote>
  <w:footnote w:id="94">
    <w:p w14:paraId="5B490C44" w14:textId="77777777" w:rsidR="00451884" w:rsidRPr="000C541E" w:rsidRDefault="00451884" w:rsidP="00BE5D97">
      <w:pPr>
        <w:pStyle w:val="FootnoteText"/>
        <w:spacing w:after="0" w:line="220" w:lineRule="exact"/>
        <w:rPr>
          <w:i w:val="0"/>
          <w:iCs/>
        </w:rPr>
      </w:pPr>
      <w:r w:rsidRPr="00370CAD">
        <w:rPr>
          <w:rStyle w:val="FootnoteReference"/>
          <w:i w:val="0"/>
          <w:iCs/>
        </w:rPr>
        <w:footnoteRef/>
      </w:r>
      <w:r w:rsidRPr="000C541E">
        <w:rPr>
          <w:i w:val="0"/>
          <w:iCs/>
        </w:rPr>
        <w:t xml:space="preserve"> </w:t>
      </w:r>
      <w:r w:rsidRPr="00370CAD">
        <w:t>Id.</w:t>
      </w:r>
      <w:r w:rsidRPr="000C541E">
        <w:rPr>
          <w:i w:val="0"/>
          <w:iCs/>
        </w:rPr>
        <w:t xml:space="preserve"> at 71.</w:t>
      </w:r>
    </w:p>
  </w:footnote>
  <w:footnote w:id="95">
    <w:p w14:paraId="1C68632C" w14:textId="58C83298" w:rsidR="00451884" w:rsidRPr="000C541E" w:rsidRDefault="00451884" w:rsidP="00BE5D97">
      <w:pPr>
        <w:pStyle w:val="FootnoteText"/>
        <w:spacing w:after="0" w:line="220" w:lineRule="exact"/>
        <w:rPr>
          <w:i w:val="0"/>
          <w:iCs/>
        </w:rPr>
      </w:pPr>
      <w:r w:rsidRPr="00370CAD">
        <w:rPr>
          <w:rStyle w:val="FootnoteReference"/>
          <w:i w:val="0"/>
          <w:iCs/>
        </w:rPr>
        <w:footnoteRef/>
      </w:r>
      <w:r w:rsidRPr="000C541E">
        <w:rPr>
          <w:i w:val="0"/>
          <w:iCs/>
        </w:rPr>
        <w:t xml:space="preserve"> </w:t>
      </w:r>
      <w:r w:rsidRPr="00370CAD">
        <w:t>Id.</w:t>
      </w:r>
      <w:r w:rsidRPr="000C541E">
        <w:rPr>
          <w:i w:val="0"/>
          <w:iCs/>
        </w:rPr>
        <w:t xml:space="preserve"> at 70-71 (noting that in </w:t>
      </w:r>
      <w:r w:rsidR="002F1E14" w:rsidRPr="00370CAD">
        <w:rPr>
          <w:bdr w:val="none" w:sz="0" w:space="0" w:color="auto" w:frame="1"/>
        </w:rPr>
        <w:t>Where Do We Go Berkeley</w:t>
      </w:r>
      <w:r w:rsidR="002F1E14" w:rsidRPr="000C541E">
        <w:rPr>
          <w:i w:val="0"/>
          <w:iCs/>
          <w:bdr w:val="none" w:sz="0" w:space="0" w:color="auto" w:frame="1"/>
        </w:rPr>
        <w:t xml:space="preserve"> (32 F.4th 852) the </w:t>
      </w:r>
      <w:r w:rsidR="002F55E8" w:rsidRPr="000C541E">
        <w:rPr>
          <w:i w:val="0"/>
          <w:iCs/>
          <w:bdr w:val="none" w:sz="0" w:space="0" w:color="auto" w:frame="1"/>
        </w:rPr>
        <w:t xml:space="preserve">city </w:t>
      </w:r>
      <w:r w:rsidRPr="000C541E">
        <w:rPr>
          <w:i w:val="0"/>
          <w:iCs/>
        </w:rPr>
        <w:t>did not provide social services or relocation assistance, thus those services did not constitute part of the program).</w:t>
      </w:r>
    </w:p>
  </w:footnote>
  <w:footnote w:id="96">
    <w:p w14:paraId="57582B7E" w14:textId="535F2A67" w:rsidR="002D75E5" w:rsidRPr="000C541E" w:rsidRDefault="002D75E5" w:rsidP="00BE5D97">
      <w:pPr>
        <w:pStyle w:val="FootnoteText"/>
        <w:spacing w:after="0" w:line="220" w:lineRule="exact"/>
        <w:rPr>
          <w:i w:val="0"/>
          <w:iCs/>
        </w:rPr>
      </w:pPr>
      <w:r w:rsidRPr="00370CAD">
        <w:rPr>
          <w:rStyle w:val="FootnoteReference"/>
          <w:i w:val="0"/>
          <w:iCs/>
        </w:rPr>
        <w:footnoteRef/>
      </w:r>
      <w:r w:rsidRPr="000C541E">
        <w:rPr>
          <w:i w:val="0"/>
          <w:iCs/>
        </w:rPr>
        <w:t xml:space="preserve"> </w:t>
      </w:r>
      <w:r w:rsidRPr="00370CAD">
        <w:t>Glover v. City of Laguna Beach</w:t>
      </w:r>
      <w:r w:rsidRPr="000C541E">
        <w:rPr>
          <w:i w:val="0"/>
          <w:iCs/>
        </w:rPr>
        <w:t>, No. SACV 15-1332 AG (</w:t>
      </w:r>
      <w:proofErr w:type="spellStart"/>
      <w:r w:rsidRPr="000C541E">
        <w:rPr>
          <w:i w:val="0"/>
          <w:iCs/>
        </w:rPr>
        <w:t>DFMx</w:t>
      </w:r>
      <w:proofErr w:type="spellEnd"/>
      <w:r w:rsidRPr="000C541E">
        <w:rPr>
          <w:i w:val="0"/>
          <w:iCs/>
        </w:rPr>
        <w:t>), 2016 U.S. Dist. LEXIS 197837, at *21 (C.D. Cal. Feb. 10, 2016).</w:t>
      </w:r>
    </w:p>
  </w:footnote>
  <w:footnote w:id="97">
    <w:p w14:paraId="6C896E3E" w14:textId="389B6DB9" w:rsidR="002D75E5" w:rsidRPr="000C541E" w:rsidRDefault="002D75E5" w:rsidP="00BE5D97">
      <w:pPr>
        <w:pStyle w:val="FootnoteText"/>
        <w:spacing w:after="0" w:line="220" w:lineRule="exact"/>
        <w:rPr>
          <w:i w:val="0"/>
          <w:iCs/>
        </w:rPr>
      </w:pPr>
      <w:r w:rsidRPr="00370CAD">
        <w:rPr>
          <w:rStyle w:val="FootnoteReference"/>
          <w:i w:val="0"/>
          <w:iCs/>
        </w:rPr>
        <w:footnoteRef/>
      </w:r>
      <w:r w:rsidRPr="000C541E">
        <w:rPr>
          <w:i w:val="0"/>
          <w:iCs/>
        </w:rPr>
        <w:t xml:space="preserve"> </w:t>
      </w:r>
      <w:r w:rsidRPr="00370CAD">
        <w:t>Id.</w:t>
      </w:r>
      <w:r w:rsidRPr="000C541E">
        <w:rPr>
          <w:i w:val="0"/>
          <w:iCs/>
        </w:rPr>
        <w:t xml:space="preserve"> at 20.</w:t>
      </w:r>
    </w:p>
  </w:footnote>
  <w:footnote w:id="98">
    <w:p w14:paraId="6F5728D2" w14:textId="77777777" w:rsidR="002D75E5" w:rsidRPr="00AF6496" w:rsidRDefault="002D75E5" w:rsidP="00BE5D97">
      <w:pPr>
        <w:pStyle w:val="FootnoteText"/>
        <w:spacing w:after="0" w:line="220" w:lineRule="exact"/>
      </w:pPr>
      <w:r w:rsidRPr="00370CAD">
        <w:rPr>
          <w:rStyle w:val="FootnoteReference"/>
          <w:i w:val="0"/>
          <w:iCs/>
        </w:rPr>
        <w:footnoteRef/>
      </w:r>
      <w:r w:rsidRPr="000C541E">
        <w:rPr>
          <w:i w:val="0"/>
          <w:iCs/>
        </w:rPr>
        <w:t xml:space="preserve"> </w:t>
      </w:r>
      <w:r w:rsidRPr="00370CAD">
        <w:t>Id.</w:t>
      </w:r>
      <w:r w:rsidRPr="000C541E">
        <w:rPr>
          <w:i w:val="0"/>
          <w:iCs/>
        </w:rPr>
        <w:t xml:space="preserve"> </w:t>
      </w:r>
    </w:p>
  </w:footnote>
  <w:footnote w:id="99">
    <w:p w14:paraId="48E55766" w14:textId="46046E94" w:rsidR="007041D9" w:rsidRPr="000C541E" w:rsidRDefault="007041D9"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002E6247" w:rsidRPr="00370CAD">
        <w:t>Id.</w:t>
      </w:r>
      <w:r w:rsidRPr="000C541E">
        <w:rPr>
          <w:i w:val="0"/>
          <w:iCs/>
        </w:rPr>
        <w:t xml:space="preserve"> at *2</w:t>
      </w:r>
      <w:r w:rsidR="00AB4630" w:rsidRPr="000C541E">
        <w:rPr>
          <w:i w:val="0"/>
          <w:iCs/>
        </w:rPr>
        <w:t>1.</w:t>
      </w:r>
    </w:p>
  </w:footnote>
  <w:footnote w:id="100">
    <w:p w14:paraId="7DC5FA7E" w14:textId="0F48632A" w:rsidR="002D75E5" w:rsidRPr="000C541E" w:rsidRDefault="002D75E5"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00AB4630" w:rsidRPr="00370CAD">
        <w:t>Id.</w:t>
      </w:r>
      <w:r w:rsidR="00AB4630" w:rsidRPr="000C541E">
        <w:rPr>
          <w:i w:val="0"/>
          <w:iCs/>
        </w:rPr>
        <w:t xml:space="preserve">; </w:t>
      </w:r>
      <w:r w:rsidR="00AB4630" w:rsidRPr="00370CAD">
        <w:t>see also Alexander v. Choate</w:t>
      </w:r>
      <w:r w:rsidR="00AB4630" w:rsidRPr="000C541E">
        <w:rPr>
          <w:i w:val="0"/>
          <w:iCs/>
        </w:rPr>
        <w:t xml:space="preserve">, 469 U.S. 287, 303, 105 S. Ct. 712, 83 L. Ed. 2d 661 (1985) (finding that plaintiffs failed to identify a particular service as the "benefit" provided under Medicaid, but rather identified an amorphous general aim of providing "adequate health care"); see also </w:t>
      </w:r>
      <w:r w:rsidR="00AB4630" w:rsidRPr="00370CAD">
        <w:t>Rose v. Rhorer</w:t>
      </w:r>
      <w:r w:rsidR="00AB4630" w:rsidRPr="000C541E">
        <w:rPr>
          <w:i w:val="0"/>
          <w:iCs/>
        </w:rPr>
        <w:t xml:space="preserve">, No. 13-cv-03502-WHO, 2014 U.S. Dist. LEXIS 64550, at *12-13 (N.D. Cal. May 9, 2014) (holding that converting an emergency shelter into long-term housing for persons with disabilities was a fundamental alteration); </w:t>
      </w:r>
      <w:r w:rsidR="00AB4630" w:rsidRPr="00C04D30">
        <w:t>Rodriguez v. City of N.Y.</w:t>
      </w:r>
      <w:r w:rsidR="00AB4630" w:rsidRPr="000C541E">
        <w:rPr>
          <w:i w:val="0"/>
          <w:iCs/>
        </w:rPr>
        <w:t xml:space="preserve">, 197 F.3d 611, 618 (2d Cir. 1999) (finding that appellees failed to focus on "particular services provided by appellants"); Cf. </w:t>
      </w:r>
      <w:r w:rsidR="00AB4630" w:rsidRPr="00370CAD">
        <w:t xml:space="preserve">Disability Rights Cal. v. </w:t>
      </w:r>
      <w:proofErr w:type="spellStart"/>
      <w:r w:rsidR="00AB4630" w:rsidRPr="00370CAD">
        <w:t>Cty</w:t>
      </w:r>
      <w:proofErr w:type="spellEnd"/>
      <w:r w:rsidR="00AB4630" w:rsidRPr="00370CAD">
        <w:t>. of Alameda</w:t>
      </w:r>
      <w:r w:rsidR="00AB4630" w:rsidRPr="000C541E">
        <w:rPr>
          <w:i w:val="0"/>
          <w:iCs/>
        </w:rPr>
        <w:t xml:space="preserve">, No. 20-cv-05256-CRB, 2021 U.S. Dist. LEXIS 11553, at *32 (N.D. Cal. Jan. 21, 2021) (holding </w:t>
      </w:r>
      <w:r w:rsidR="00AB4630" w:rsidRPr="00C04D30">
        <w:t>Olmstead</w:t>
      </w:r>
      <w:r w:rsidR="00AB4630" w:rsidRPr="000C541E">
        <w:rPr>
          <w:i w:val="0"/>
          <w:iCs/>
        </w:rPr>
        <w:t xml:space="preserve"> does not provide a remedy for when government entities could generally do more to keep people from being institutionalized.).</w:t>
      </w:r>
    </w:p>
  </w:footnote>
  <w:footnote w:id="101">
    <w:p w14:paraId="03D0490B" w14:textId="58383F36" w:rsidR="00B66717" w:rsidRPr="000C541E" w:rsidRDefault="00B66717"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Pr="00370CAD">
        <w:t>Glover</w:t>
      </w:r>
      <w:r w:rsidRPr="000C541E">
        <w:rPr>
          <w:i w:val="0"/>
          <w:iCs/>
        </w:rPr>
        <w:t xml:space="preserve">, 2016 U.S. Dist. LEXIS 197837, at *25; </w:t>
      </w:r>
      <w:r w:rsidRPr="00C04D30">
        <w:t xml:space="preserve">see also LA All. for Human Rights v. </w:t>
      </w:r>
      <w:proofErr w:type="spellStart"/>
      <w:r w:rsidRPr="00C04D30">
        <w:t>Cty</w:t>
      </w:r>
      <w:proofErr w:type="spellEnd"/>
      <w:r w:rsidRPr="00C04D30">
        <w:t>. of L.A.</w:t>
      </w:r>
      <w:r w:rsidRPr="000C541E">
        <w:rPr>
          <w:i w:val="0"/>
          <w:iCs/>
        </w:rPr>
        <w:t>, 14 F.4th 947, 960-61 (9th Cir. 2021) (finding no connection between L.A.’s failure to keep sidewalks in compliance with the ADA and offering unhoused people on Skid Row shelter).</w:t>
      </w:r>
    </w:p>
  </w:footnote>
  <w:footnote w:id="102">
    <w:p w14:paraId="5B3D9743" w14:textId="55787F1F" w:rsidR="00590AD3" w:rsidRPr="000C541E" w:rsidRDefault="00590AD3"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Pr="00C04D30">
        <w:t>Bax v. Drs. Med. Ctr. of Modesto, Inc.</w:t>
      </w:r>
      <w:r w:rsidRPr="000C541E">
        <w:rPr>
          <w:i w:val="0"/>
          <w:iCs/>
        </w:rPr>
        <w:t xml:space="preserve">, 52 F.4th 862, 866 (9th Cir. 2022); </w:t>
      </w:r>
      <w:r w:rsidRPr="00DE3357">
        <w:t>Duvall</w:t>
      </w:r>
      <w:r w:rsidRPr="000C541E">
        <w:rPr>
          <w:i w:val="0"/>
          <w:iCs/>
        </w:rPr>
        <w:t>, 260 F.3d at 1139.</w:t>
      </w:r>
    </w:p>
  </w:footnote>
  <w:footnote w:id="103">
    <w:p w14:paraId="64E0BA02" w14:textId="0AB1B3B6" w:rsidR="00590AD3" w:rsidRPr="00B66717" w:rsidRDefault="00590AD3" w:rsidP="00BE5D97">
      <w:pPr>
        <w:pStyle w:val="FootnoteText"/>
        <w:spacing w:after="0" w:line="220" w:lineRule="exact"/>
      </w:pPr>
      <w:r w:rsidRPr="000C541E">
        <w:rPr>
          <w:rStyle w:val="FootnoteReference"/>
          <w:i w:val="0"/>
          <w:iCs/>
        </w:rPr>
        <w:footnoteRef/>
      </w:r>
      <w:r w:rsidRPr="000C541E">
        <w:rPr>
          <w:i w:val="0"/>
          <w:iCs/>
        </w:rPr>
        <w:t xml:space="preserve"> </w:t>
      </w:r>
      <w:proofErr w:type="spellStart"/>
      <w:r w:rsidRPr="00C04D30">
        <w:t>Csutoras</w:t>
      </w:r>
      <w:proofErr w:type="spellEnd"/>
      <w:r w:rsidRPr="00C04D30">
        <w:t xml:space="preserve"> v. Paradise High Sch.,</w:t>
      </w:r>
      <w:r w:rsidRPr="000C541E">
        <w:rPr>
          <w:i w:val="0"/>
          <w:iCs/>
        </w:rPr>
        <w:t xml:space="preserve"> 12 F.4th 960, 969 (9th Cir. 2021) (quoting </w:t>
      </w:r>
      <w:r w:rsidRPr="00DE3357">
        <w:t>Duvall</w:t>
      </w:r>
      <w:r w:rsidRPr="000C541E">
        <w:rPr>
          <w:i w:val="0"/>
          <w:iCs/>
        </w:rPr>
        <w:t>, 260 F.3d at 1139).</w:t>
      </w:r>
    </w:p>
  </w:footnote>
  <w:footnote w:id="104">
    <w:p w14:paraId="1C4CCDC6" w14:textId="147B111F" w:rsidR="00590AD3" w:rsidRPr="000C541E" w:rsidRDefault="00590AD3" w:rsidP="00BE5D97">
      <w:pPr>
        <w:pStyle w:val="FootnoteText"/>
        <w:spacing w:after="0" w:line="220" w:lineRule="exact"/>
        <w:rPr>
          <w:i w:val="0"/>
          <w:iCs/>
        </w:rPr>
      </w:pPr>
      <w:r w:rsidRPr="000C541E">
        <w:rPr>
          <w:rStyle w:val="FootnoteReference"/>
          <w:i w:val="0"/>
          <w:iCs/>
        </w:rPr>
        <w:footnoteRef/>
      </w:r>
      <w:r w:rsidRPr="000C541E">
        <w:rPr>
          <w:i w:val="0"/>
          <w:iCs/>
        </w:rPr>
        <w:t xml:space="preserve"> </w:t>
      </w:r>
      <w:r w:rsidRPr="00C04D30">
        <w:t>Id.</w:t>
      </w:r>
      <w:r w:rsidRPr="000C541E">
        <w:rPr>
          <w:i w:val="0"/>
          <w:iCs/>
        </w:rPr>
        <w:t xml:space="preserve"> at 969; </w:t>
      </w:r>
      <w:r w:rsidRPr="00C04D30">
        <w:t xml:space="preserve">Updike v. Multnomah </w:t>
      </w:r>
      <w:proofErr w:type="spellStart"/>
      <w:r w:rsidRPr="00C04D30">
        <w:t>C</w:t>
      </w:r>
      <w:r w:rsidR="00C04D30">
        <w:t>n</w:t>
      </w:r>
      <w:r w:rsidRPr="00C04D30">
        <w:t>ty</w:t>
      </w:r>
      <w:proofErr w:type="spellEnd"/>
      <w:r w:rsidRPr="00C04D30">
        <w:t>.</w:t>
      </w:r>
      <w:r w:rsidRPr="000C541E">
        <w:rPr>
          <w:i w:val="0"/>
          <w:iCs/>
        </w:rPr>
        <w:t>, 870 F.3d 939, 951 (9th Cir. 2017).</w:t>
      </w:r>
    </w:p>
  </w:footnote>
  <w:footnote w:id="105">
    <w:p w14:paraId="497EDFC0" w14:textId="77777777" w:rsidR="00590AD3" w:rsidRPr="000C541E" w:rsidRDefault="00590AD3" w:rsidP="00BE5D97">
      <w:pPr>
        <w:pStyle w:val="FootnoteText"/>
        <w:spacing w:after="0" w:line="220" w:lineRule="exact"/>
        <w:rPr>
          <w:i w:val="0"/>
          <w:iCs/>
        </w:rPr>
      </w:pPr>
      <w:r w:rsidRPr="00DE3357">
        <w:rPr>
          <w:rStyle w:val="FootnoteReference"/>
          <w:i w:val="0"/>
          <w:iCs/>
        </w:rPr>
        <w:footnoteRef/>
      </w:r>
      <w:r w:rsidRPr="000C541E">
        <w:rPr>
          <w:i w:val="0"/>
          <w:iCs/>
        </w:rPr>
        <w:t xml:space="preserve"> </w:t>
      </w:r>
      <w:r w:rsidRPr="00C04D30">
        <w:t>Duvall</w:t>
      </w:r>
      <w:r w:rsidRPr="000C541E">
        <w:rPr>
          <w:i w:val="0"/>
          <w:iCs/>
        </w:rPr>
        <w:t>, 260 F.3d at 1139.</w:t>
      </w:r>
    </w:p>
  </w:footnote>
  <w:footnote w:id="106">
    <w:p w14:paraId="235A92C8" w14:textId="262A23FE" w:rsidR="00590AD3" w:rsidRPr="000C541E" w:rsidRDefault="00590AD3" w:rsidP="00BE5D97">
      <w:pPr>
        <w:pStyle w:val="FootnoteText"/>
        <w:spacing w:after="0" w:line="220" w:lineRule="exact"/>
        <w:rPr>
          <w:i w:val="0"/>
          <w:iCs/>
        </w:rPr>
      </w:pPr>
      <w:r w:rsidRPr="00DE3357">
        <w:rPr>
          <w:rStyle w:val="FootnoteReference"/>
          <w:i w:val="0"/>
          <w:iCs/>
        </w:rPr>
        <w:footnoteRef/>
      </w:r>
      <w:r w:rsidRPr="000C541E">
        <w:rPr>
          <w:i w:val="0"/>
          <w:iCs/>
        </w:rPr>
        <w:t xml:space="preserve"> </w:t>
      </w:r>
      <w:r w:rsidRPr="00C04D30">
        <w:t>Updike</w:t>
      </w:r>
      <w:r w:rsidRPr="000C541E">
        <w:rPr>
          <w:i w:val="0"/>
          <w:iCs/>
        </w:rPr>
        <w:t>, 870 F.3d at 951.</w:t>
      </w:r>
    </w:p>
  </w:footnote>
  <w:footnote w:id="107">
    <w:p w14:paraId="64BDC7D0" w14:textId="6AA8DBBF" w:rsidR="00590AD3" w:rsidRPr="000C541E" w:rsidRDefault="00590AD3" w:rsidP="00BE5D97">
      <w:pPr>
        <w:pStyle w:val="FootnoteText"/>
        <w:spacing w:after="0" w:line="220" w:lineRule="exact"/>
        <w:rPr>
          <w:i w:val="0"/>
          <w:iCs/>
        </w:rPr>
      </w:pPr>
      <w:r w:rsidRPr="00DE3357">
        <w:rPr>
          <w:rStyle w:val="FootnoteReference"/>
          <w:i w:val="0"/>
          <w:iCs/>
        </w:rPr>
        <w:footnoteRef/>
      </w:r>
      <w:r w:rsidRPr="000C541E">
        <w:rPr>
          <w:i w:val="0"/>
          <w:iCs/>
        </w:rPr>
        <w:t xml:space="preserve"> </w:t>
      </w:r>
      <w:r w:rsidRPr="00C04D30">
        <w:t>Id.</w:t>
      </w:r>
      <w:r w:rsidRPr="000C541E">
        <w:rPr>
          <w:i w:val="0"/>
          <w:iCs/>
        </w:rPr>
        <w:t xml:space="preserve"> </w:t>
      </w:r>
    </w:p>
  </w:footnote>
  <w:footnote w:id="108">
    <w:p w14:paraId="5FA76980" w14:textId="77777777" w:rsidR="00590AD3" w:rsidRPr="000C541E" w:rsidRDefault="00590AD3" w:rsidP="00BE5D97">
      <w:pPr>
        <w:pStyle w:val="FootnoteText"/>
        <w:spacing w:after="0" w:line="220" w:lineRule="exact"/>
        <w:rPr>
          <w:i w:val="0"/>
          <w:iCs/>
        </w:rPr>
      </w:pPr>
      <w:r w:rsidRPr="00DE3357">
        <w:rPr>
          <w:rStyle w:val="FootnoteReference"/>
          <w:i w:val="0"/>
          <w:iCs/>
        </w:rPr>
        <w:footnoteRef/>
      </w:r>
      <w:r w:rsidRPr="000C541E">
        <w:rPr>
          <w:i w:val="0"/>
          <w:iCs/>
        </w:rPr>
        <w:t xml:space="preserve"> </w:t>
      </w:r>
      <w:r w:rsidRPr="00C04D30">
        <w:t>Id.</w:t>
      </w:r>
      <w:r w:rsidRPr="000C541E">
        <w:rPr>
          <w:i w:val="0"/>
          <w:iCs/>
        </w:rPr>
        <w:t xml:space="preserve"> at 952.</w:t>
      </w:r>
    </w:p>
  </w:footnote>
  <w:footnote w:id="109">
    <w:p w14:paraId="348745C4" w14:textId="1032A2EA" w:rsidR="00590AD3" w:rsidRPr="000C541E" w:rsidRDefault="00590AD3" w:rsidP="00BE5D97">
      <w:pPr>
        <w:pStyle w:val="FootnoteText"/>
        <w:spacing w:after="0" w:line="220" w:lineRule="exact"/>
        <w:rPr>
          <w:i w:val="0"/>
          <w:iCs/>
        </w:rPr>
      </w:pPr>
      <w:r w:rsidRPr="00DE3357">
        <w:rPr>
          <w:rStyle w:val="FootnoteReference"/>
          <w:i w:val="0"/>
          <w:iCs/>
        </w:rPr>
        <w:footnoteRef/>
      </w:r>
      <w:r w:rsidRPr="000C541E">
        <w:rPr>
          <w:i w:val="0"/>
          <w:iCs/>
        </w:rPr>
        <w:t xml:space="preserve"> </w:t>
      </w:r>
      <w:r w:rsidRPr="00C04D30">
        <w:t>Duvall</w:t>
      </w:r>
      <w:r w:rsidRPr="000C541E">
        <w:rPr>
          <w:i w:val="0"/>
          <w:iCs/>
        </w:rPr>
        <w:t>, 260 F.3d at 1124.</w:t>
      </w:r>
    </w:p>
  </w:footnote>
  <w:footnote w:id="110">
    <w:p w14:paraId="448C4A1E" w14:textId="77777777" w:rsidR="00590AD3" w:rsidRPr="000C541E" w:rsidRDefault="00590AD3" w:rsidP="00BE5D97">
      <w:pPr>
        <w:pStyle w:val="FootnoteText"/>
        <w:spacing w:after="0" w:line="220" w:lineRule="exact"/>
        <w:rPr>
          <w:i w:val="0"/>
          <w:iCs/>
        </w:rPr>
      </w:pPr>
      <w:r w:rsidRPr="00DE3357">
        <w:rPr>
          <w:rStyle w:val="FootnoteReference"/>
          <w:i w:val="0"/>
          <w:iCs/>
        </w:rPr>
        <w:footnoteRef/>
      </w:r>
      <w:r w:rsidRPr="000C541E">
        <w:rPr>
          <w:i w:val="0"/>
          <w:iCs/>
        </w:rPr>
        <w:t xml:space="preserve"> </w:t>
      </w:r>
      <w:r w:rsidRPr="00C04D30">
        <w:t>Id.</w:t>
      </w:r>
      <w:r w:rsidRPr="000C541E">
        <w:rPr>
          <w:i w:val="0"/>
          <w:iCs/>
        </w:rPr>
        <w:t xml:space="preserve"> at 1139-1140.</w:t>
      </w:r>
    </w:p>
  </w:footnote>
  <w:footnote w:id="111">
    <w:p w14:paraId="5504398A" w14:textId="66C9D294" w:rsidR="00590AD3" w:rsidRPr="000C541E" w:rsidRDefault="00590AD3" w:rsidP="00BE5D97">
      <w:pPr>
        <w:pStyle w:val="FootnoteText"/>
        <w:spacing w:after="0" w:line="220" w:lineRule="exact"/>
        <w:rPr>
          <w:i w:val="0"/>
          <w:iCs/>
        </w:rPr>
      </w:pPr>
      <w:r w:rsidRPr="00DE3357">
        <w:rPr>
          <w:rStyle w:val="FootnoteReference"/>
          <w:i w:val="0"/>
          <w:iCs/>
        </w:rPr>
        <w:footnoteRef/>
      </w:r>
      <w:r w:rsidRPr="000C541E">
        <w:rPr>
          <w:i w:val="0"/>
          <w:iCs/>
        </w:rPr>
        <w:t xml:space="preserve"> </w:t>
      </w:r>
      <w:r w:rsidRPr="00C04D30">
        <w:t xml:space="preserve">Id. </w:t>
      </w:r>
      <w:r w:rsidRPr="000C541E">
        <w:rPr>
          <w:i w:val="0"/>
          <w:iCs/>
        </w:rPr>
        <w:t>at 1140-1141.</w:t>
      </w:r>
    </w:p>
  </w:footnote>
  <w:footnote w:id="112">
    <w:p w14:paraId="1E203867" w14:textId="77777777" w:rsidR="00590AD3" w:rsidRPr="00AF6496" w:rsidRDefault="00590AD3" w:rsidP="00BE5D97">
      <w:pPr>
        <w:pStyle w:val="FootnoteText"/>
        <w:spacing w:after="0" w:line="220" w:lineRule="exact"/>
      </w:pPr>
      <w:r w:rsidRPr="00DE3357">
        <w:rPr>
          <w:rStyle w:val="FootnoteReference"/>
          <w:i w:val="0"/>
          <w:iCs/>
        </w:rPr>
        <w:footnoteRef/>
      </w:r>
      <w:r w:rsidRPr="000C541E">
        <w:rPr>
          <w:i w:val="0"/>
          <w:iCs/>
        </w:rPr>
        <w:t xml:space="preserve"> </w:t>
      </w:r>
      <w:r w:rsidRPr="00E5455E">
        <w:t>Id</w:t>
      </w:r>
      <w:r w:rsidRPr="000C541E">
        <w:rPr>
          <w:i w:val="0"/>
          <w:iCs/>
        </w:rPr>
        <w:t>. at 1140.</w:t>
      </w:r>
      <w:r w:rsidRPr="00AF6496">
        <w:t xml:space="preserve"> </w:t>
      </w:r>
    </w:p>
  </w:footnote>
  <w:footnote w:id="113">
    <w:p w14:paraId="29D33547" w14:textId="664EA41D" w:rsidR="00AC6806" w:rsidRPr="008A1EBE" w:rsidRDefault="00AC6806" w:rsidP="00BE5D97">
      <w:pPr>
        <w:pStyle w:val="FootnoteText"/>
        <w:spacing w:after="0" w:line="220" w:lineRule="exact"/>
        <w:rPr>
          <w:i w:val="0"/>
          <w:iCs/>
        </w:rPr>
      </w:pPr>
      <w:r w:rsidRPr="00DE3357">
        <w:rPr>
          <w:rStyle w:val="FootnoteReference"/>
          <w:i w:val="0"/>
          <w:iCs/>
        </w:rPr>
        <w:footnoteRef/>
      </w:r>
      <w:r w:rsidR="00F5774F" w:rsidRPr="00DE3357">
        <w:rPr>
          <w:i w:val="0"/>
          <w:iCs/>
        </w:rPr>
        <w:t xml:space="preserve"> </w:t>
      </w:r>
      <w:r w:rsidR="00C72862" w:rsidRPr="008A1EBE">
        <w:rPr>
          <w:i w:val="0"/>
          <w:iCs/>
        </w:rPr>
        <w:t>28 C.F.R. § 35.150(a)(3) (2024).</w:t>
      </w:r>
    </w:p>
  </w:footnote>
  <w:footnote w:id="114">
    <w:p w14:paraId="2206CF85" w14:textId="6DCDB9E8" w:rsidR="00AA574F" w:rsidRPr="008A1EBE" w:rsidRDefault="00AA574F" w:rsidP="00BE5D97">
      <w:pPr>
        <w:pStyle w:val="FootnoteText"/>
        <w:spacing w:after="0" w:line="220" w:lineRule="exact"/>
        <w:rPr>
          <w:i w:val="0"/>
          <w:iCs/>
        </w:rPr>
      </w:pPr>
      <w:r w:rsidRPr="00DE3357">
        <w:rPr>
          <w:rStyle w:val="FootnoteReference"/>
          <w:i w:val="0"/>
          <w:iCs/>
        </w:rPr>
        <w:footnoteRef/>
      </w:r>
      <w:r w:rsidRPr="008A1EBE">
        <w:rPr>
          <w:i w:val="0"/>
          <w:iCs/>
        </w:rPr>
        <w:t xml:space="preserve"> </w:t>
      </w:r>
      <w:r w:rsidR="00624ED0" w:rsidRPr="00C04D30">
        <w:t>Id.</w:t>
      </w:r>
      <w:r w:rsidR="00620CA0" w:rsidRPr="008A1EBE">
        <w:rPr>
          <w:i w:val="0"/>
          <w:iCs/>
        </w:rPr>
        <w:t>; </w:t>
      </w:r>
      <w:r w:rsidR="00620CA0" w:rsidRPr="00C04D30">
        <w:t>Lentini v. Cal. Ctr. for the Arts</w:t>
      </w:r>
      <w:r w:rsidR="00620CA0" w:rsidRPr="008A1EBE">
        <w:rPr>
          <w:i w:val="0"/>
          <w:iCs/>
        </w:rPr>
        <w:t>, 370 F.3d 837, 845 (9th Cir. 2004).</w:t>
      </w:r>
    </w:p>
  </w:footnote>
  <w:footnote w:id="115">
    <w:p w14:paraId="2EBF35CB" w14:textId="7E86AC42" w:rsidR="000E1D73" w:rsidRPr="008A1EBE" w:rsidRDefault="000E1D73" w:rsidP="00BE5D97">
      <w:pPr>
        <w:pStyle w:val="FootnoteText"/>
        <w:spacing w:after="0" w:line="220" w:lineRule="exact"/>
        <w:rPr>
          <w:i w:val="0"/>
          <w:iCs/>
        </w:rPr>
      </w:pPr>
      <w:r w:rsidRPr="00C04D30">
        <w:rPr>
          <w:rStyle w:val="FootnoteReference"/>
          <w:i w:val="0"/>
          <w:iCs/>
        </w:rPr>
        <w:footnoteRef/>
      </w:r>
      <w:r w:rsidRPr="008A1EBE">
        <w:rPr>
          <w:i w:val="0"/>
          <w:iCs/>
        </w:rPr>
        <w:t xml:space="preserve"> </w:t>
      </w:r>
      <w:r w:rsidR="00604B40" w:rsidRPr="008A1EBE">
        <w:rPr>
          <w:i w:val="0"/>
          <w:iCs/>
        </w:rPr>
        <w:t>28 C.F.R. § 35.150(a)(3) (2024).</w:t>
      </w:r>
    </w:p>
  </w:footnote>
  <w:footnote w:id="116">
    <w:p w14:paraId="6C6D4EB8" w14:textId="31A43C1C" w:rsidR="00FD02C9" w:rsidRPr="008A1EBE" w:rsidRDefault="00FD02C9" w:rsidP="00BE5D97">
      <w:pPr>
        <w:pStyle w:val="FootnoteText"/>
        <w:spacing w:after="0" w:line="220" w:lineRule="exact"/>
        <w:rPr>
          <w:i w:val="0"/>
          <w:iCs/>
        </w:rPr>
      </w:pPr>
      <w:r w:rsidRPr="00C04D30">
        <w:rPr>
          <w:rStyle w:val="FootnoteReference"/>
          <w:i w:val="0"/>
          <w:iCs/>
        </w:rPr>
        <w:footnoteRef/>
      </w:r>
      <w:r w:rsidRPr="008A1EBE">
        <w:rPr>
          <w:i w:val="0"/>
          <w:iCs/>
        </w:rPr>
        <w:t xml:space="preserve"> </w:t>
      </w:r>
      <w:r w:rsidR="7137271A" w:rsidRPr="00C04D30">
        <w:t>Where Do We Go Berkeley</w:t>
      </w:r>
      <w:r w:rsidR="7137271A" w:rsidRPr="008A1EBE">
        <w:rPr>
          <w:i w:val="0"/>
          <w:iCs/>
        </w:rPr>
        <w:t>, 32 F.4th 852.</w:t>
      </w:r>
    </w:p>
  </w:footnote>
  <w:footnote w:id="117">
    <w:p w14:paraId="3871C8C1" w14:textId="5AAA9B21" w:rsidR="00FD02C9" w:rsidRPr="008A1EBE" w:rsidRDefault="00FD02C9" w:rsidP="00BE5D97">
      <w:pPr>
        <w:pStyle w:val="FootnoteText"/>
        <w:spacing w:after="0" w:line="220" w:lineRule="exact"/>
        <w:rPr>
          <w:i w:val="0"/>
          <w:iCs/>
        </w:rPr>
      </w:pPr>
      <w:r w:rsidRPr="00C04D30">
        <w:rPr>
          <w:rStyle w:val="FootnoteReference"/>
          <w:i w:val="0"/>
          <w:iCs/>
        </w:rPr>
        <w:footnoteRef/>
      </w:r>
      <w:r w:rsidRPr="008A1EBE">
        <w:rPr>
          <w:i w:val="0"/>
          <w:iCs/>
        </w:rPr>
        <w:t xml:space="preserve"> </w:t>
      </w:r>
      <w:proofErr w:type="spellStart"/>
      <w:r w:rsidRPr="00C04D30">
        <w:t>Hous</w:t>
      </w:r>
      <w:proofErr w:type="spellEnd"/>
      <w:r w:rsidRPr="00C04D30">
        <w:t xml:space="preserve">. is A Human Right Orange </w:t>
      </w:r>
      <w:proofErr w:type="spellStart"/>
      <w:r w:rsidRPr="00C04D30">
        <w:t>Cty</w:t>
      </w:r>
      <w:proofErr w:type="spellEnd"/>
      <w:r w:rsidRPr="00C04D30">
        <w:t xml:space="preserve">. v. </w:t>
      </w:r>
      <w:proofErr w:type="spellStart"/>
      <w:r w:rsidRPr="00C04D30">
        <w:t>Cty</w:t>
      </w:r>
      <w:proofErr w:type="spellEnd"/>
      <w:r w:rsidRPr="00C04D30">
        <w:t>. of Orange</w:t>
      </w:r>
      <w:r w:rsidRPr="008A1EBE">
        <w:rPr>
          <w:i w:val="0"/>
          <w:iCs/>
        </w:rPr>
        <w:t>, No. SA CV 19-388 PA (</w:t>
      </w:r>
      <w:proofErr w:type="spellStart"/>
      <w:r w:rsidRPr="008A1EBE">
        <w:rPr>
          <w:i w:val="0"/>
          <w:iCs/>
        </w:rPr>
        <w:t>JDEx</w:t>
      </w:r>
      <w:proofErr w:type="spellEnd"/>
      <w:r w:rsidRPr="008A1EBE">
        <w:rPr>
          <w:i w:val="0"/>
          <w:iCs/>
        </w:rPr>
        <w:t>), 2019 U.S. Dist. LEXIS 210837</w:t>
      </w:r>
      <w:r w:rsidR="00B7567E" w:rsidRPr="008A1EBE">
        <w:rPr>
          <w:i w:val="0"/>
          <w:iCs/>
        </w:rPr>
        <w:t xml:space="preserve"> at*41</w:t>
      </w:r>
      <w:r w:rsidRPr="008A1EBE">
        <w:rPr>
          <w:i w:val="0"/>
          <w:iCs/>
        </w:rPr>
        <w:t xml:space="preserve"> (C.D. Cal. Aug. 12, 2019) (quoting </w:t>
      </w:r>
      <w:r w:rsidRPr="00C04D30">
        <w:t xml:space="preserve">Townsend v. </w:t>
      </w:r>
      <w:proofErr w:type="spellStart"/>
      <w:r w:rsidRPr="00C04D30">
        <w:t>Quasim</w:t>
      </w:r>
      <w:proofErr w:type="spellEnd"/>
      <w:r w:rsidRPr="008A1EBE">
        <w:rPr>
          <w:i w:val="0"/>
          <w:iCs/>
        </w:rPr>
        <w:t>, 328 F.3d 511, 518 (9th Cir. 2003)).</w:t>
      </w:r>
    </w:p>
  </w:footnote>
  <w:footnote w:id="118">
    <w:p w14:paraId="002F5AC6" w14:textId="504C8EE1" w:rsidR="00FD02C9" w:rsidRPr="008A1EBE" w:rsidRDefault="00FD02C9" w:rsidP="00BE5D97">
      <w:pPr>
        <w:pStyle w:val="FootnoteText"/>
        <w:spacing w:after="0" w:line="220" w:lineRule="exact"/>
        <w:rPr>
          <w:i w:val="0"/>
          <w:iCs/>
        </w:rPr>
      </w:pPr>
      <w:r w:rsidRPr="00C04D30">
        <w:rPr>
          <w:rStyle w:val="FootnoteReference"/>
          <w:i w:val="0"/>
          <w:iCs/>
        </w:rPr>
        <w:footnoteRef/>
      </w:r>
      <w:r w:rsidRPr="008A1EBE">
        <w:rPr>
          <w:i w:val="0"/>
          <w:iCs/>
        </w:rPr>
        <w:t xml:space="preserve"> </w:t>
      </w:r>
      <w:r w:rsidRPr="00C04D30">
        <w:t>Glover</w:t>
      </w:r>
      <w:r w:rsidRPr="008A1EBE">
        <w:rPr>
          <w:i w:val="0"/>
          <w:iCs/>
        </w:rPr>
        <w:t>, 2016 U.S. Dist. LEXIS 197837, at *22 (holding that the creation of permanent supportive housing was a fundamental alteration).</w:t>
      </w:r>
    </w:p>
  </w:footnote>
  <w:footnote w:id="119">
    <w:p w14:paraId="17358EDC" w14:textId="77777777" w:rsidR="000A4B2A" w:rsidRPr="008A1EBE" w:rsidRDefault="000A4B2A" w:rsidP="00BE5D97">
      <w:pPr>
        <w:pStyle w:val="FootnoteText"/>
        <w:spacing w:after="0" w:line="220" w:lineRule="exact"/>
        <w:rPr>
          <w:i w:val="0"/>
          <w:iCs/>
        </w:rPr>
      </w:pPr>
      <w:r w:rsidRPr="00C04D30">
        <w:rPr>
          <w:rStyle w:val="FootnoteReference"/>
          <w:i w:val="0"/>
          <w:iCs/>
        </w:rPr>
        <w:footnoteRef/>
      </w:r>
      <w:r w:rsidRPr="008A1EBE">
        <w:rPr>
          <w:i w:val="0"/>
          <w:iCs/>
        </w:rPr>
        <w:t xml:space="preserve"> 28 C.F.R. § 35.150(a)(3) (2024).</w:t>
      </w:r>
    </w:p>
  </w:footnote>
  <w:footnote w:id="120">
    <w:p w14:paraId="0059C1D8" w14:textId="2B4967BD" w:rsidR="00DA5A1D" w:rsidRPr="000C541E" w:rsidRDefault="00DA5A1D" w:rsidP="00BE5D97">
      <w:pPr>
        <w:pStyle w:val="FootnoteText"/>
        <w:spacing w:after="0" w:line="220" w:lineRule="exact"/>
        <w:rPr>
          <w:i w:val="0"/>
          <w:iCs/>
        </w:rPr>
      </w:pPr>
      <w:r w:rsidRPr="00C04D30">
        <w:rPr>
          <w:rStyle w:val="FootnoteReference"/>
          <w:i w:val="0"/>
          <w:iCs/>
        </w:rPr>
        <w:footnoteRef/>
      </w:r>
      <w:r w:rsidRPr="008A1EBE">
        <w:rPr>
          <w:i w:val="0"/>
          <w:iCs/>
        </w:rPr>
        <w:t xml:space="preserve"> </w:t>
      </w:r>
      <w:r w:rsidR="7137271A" w:rsidRPr="00C04D30">
        <w:t>Crowder</w:t>
      </w:r>
      <w:r w:rsidR="7137271A" w:rsidRPr="008A1EBE">
        <w:rPr>
          <w:i w:val="0"/>
          <w:iCs/>
        </w:rPr>
        <w:t xml:space="preserve">, 81 F.3d </w:t>
      </w:r>
      <w:r w:rsidR="00D43EB0" w:rsidRPr="008A1EBE">
        <w:rPr>
          <w:i w:val="0"/>
          <w:iCs/>
        </w:rPr>
        <w:t>at</w:t>
      </w:r>
      <w:r w:rsidR="7137271A" w:rsidRPr="008A1EBE">
        <w:rPr>
          <w:i w:val="0"/>
          <w:iCs/>
        </w:rPr>
        <w:t xml:space="preserve"> 1486.</w:t>
      </w:r>
    </w:p>
  </w:footnote>
  <w:footnote w:id="121">
    <w:p w14:paraId="05E12173" w14:textId="265148AE" w:rsidR="00FD02C9" w:rsidRPr="000C541E" w:rsidRDefault="00FD02C9" w:rsidP="00BE5D97">
      <w:pPr>
        <w:pStyle w:val="FootnoteText"/>
        <w:spacing w:after="0" w:line="220" w:lineRule="exact"/>
        <w:rPr>
          <w:i w:val="0"/>
          <w:iCs/>
        </w:rPr>
      </w:pPr>
      <w:r w:rsidRPr="00C04D30">
        <w:rPr>
          <w:rStyle w:val="FootnoteReference"/>
          <w:i w:val="0"/>
          <w:iCs/>
        </w:rPr>
        <w:footnoteRef/>
      </w:r>
      <w:r w:rsidR="00DA5A1D" w:rsidRPr="000C541E">
        <w:rPr>
          <w:i w:val="0"/>
          <w:iCs/>
        </w:rPr>
        <w:t xml:space="preserve"> </w:t>
      </w:r>
      <w:r w:rsidR="00FE677A" w:rsidRPr="00C04D30">
        <w:t>Where Do We Go Berkeley</w:t>
      </w:r>
      <w:r w:rsidR="00FE677A" w:rsidRPr="000C541E">
        <w:rPr>
          <w:i w:val="0"/>
          <w:iCs/>
        </w:rPr>
        <w:t>, 32 F.4th at 862 (citing</w:t>
      </w:r>
      <w:r w:rsidR="00FE677A" w:rsidRPr="000C541E">
        <w:rPr>
          <w:rFonts w:eastAsia="Times New Roman" w:cs="Times New Roman"/>
          <w:i w:val="0"/>
          <w:iCs/>
          <w:kern w:val="0"/>
          <w:sz w:val="20"/>
          <w:szCs w:val="20"/>
          <w14:ligatures w14:val="none"/>
        </w:rPr>
        <w:t xml:space="preserve"> </w:t>
      </w:r>
      <w:r w:rsidR="00FE677A" w:rsidRPr="00A40557">
        <w:t>Crowder,</w:t>
      </w:r>
      <w:r w:rsidR="00FE677A" w:rsidRPr="000C541E">
        <w:rPr>
          <w:i w:val="0"/>
          <w:iCs/>
        </w:rPr>
        <w:t xml:space="preserve"> 81 F.3d at 1486).</w:t>
      </w:r>
    </w:p>
  </w:footnote>
  <w:footnote w:id="122">
    <w:p w14:paraId="28CCDBD8" w14:textId="16262BB0" w:rsidR="00FD02C9" w:rsidRPr="000C541E" w:rsidRDefault="00FD02C9" w:rsidP="00BE5D97">
      <w:pPr>
        <w:pStyle w:val="FootnoteText"/>
        <w:spacing w:after="0" w:line="220" w:lineRule="exact"/>
        <w:rPr>
          <w:i w:val="0"/>
          <w:iCs/>
          <w:color w:val="000000"/>
        </w:rPr>
      </w:pPr>
      <w:r w:rsidRPr="00C04D30">
        <w:rPr>
          <w:rStyle w:val="FootnoteReference"/>
          <w:i w:val="0"/>
          <w:iCs/>
        </w:rPr>
        <w:footnoteRef/>
      </w:r>
      <w:r w:rsidR="002D4121" w:rsidRPr="00C04D30">
        <w:rPr>
          <w:rFonts w:eastAsiaTheme="minorEastAsia"/>
          <w:i w:val="0"/>
          <w:iCs/>
        </w:rPr>
        <w:t xml:space="preserve"> </w:t>
      </w:r>
      <w:r w:rsidRPr="00C04D30">
        <w:t>Townsend</w:t>
      </w:r>
      <w:r w:rsidRPr="000C541E">
        <w:rPr>
          <w:i w:val="0"/>
          <w:iCs/>
        </w:rPr>
        <w:t>, 328 F.3d at 519.</w:t>
      </w:r>
    </w:p>
  </w:footnote>
  <w:footnote w:id="123">
    <w:p w14:paraId="4B9D3FC8" w14:textId="77777777" w:rsidR="00B66717" w:rsidRPr="000C541E" w:rsidRDefault="00B66717" w:rsidP="00BE5D97">
      <w:pPr>
        <w:pStyle w:val="FootnoteText"/>
        <w:spacing w:after="0" w:line="220" w:lineRule="exact"/>
        <w:rPr>
          <w:i w:val="0"/>
          <w:iCs/>
        </w:rPr>
      </w:pPr>
      <w:r w:rsidRPr="00C04D30">
        <w:rPr>
          <w:rStyle w:val="FootnoteReference"/>
          <w:i w:val="0"/>
          <w:iCs/>
        </w:rPr>
        <w:footnoteRef/>
      </w:r>
      <w:r w:rsidRPr="000C541E">
        <w:rPr>
          <w:i w:val="0"/>
          <w:iCs/>
        </w:rPr>
        <w:t xml:space="preserve"> </w:t>
      </w:r>
      <w:r w:rsidRPr="00C04D30">
        <w:t>Prado</w:t>
      </w:r>
      <w:r w:rsidRPr="000C541E">
        <w:rPr>
          <w:i w:val="0"/>
          <w:iCs/>
        </w:rPr>
        <w:t>, 2024 U.S. Dist. LEXIS 139836, at *77 (citing </w:t>
      </w:r>
      <w:r w:rsidRPr="00A40557">
        <w:t>Crowder</w:t>
      </w:r>
      <w:r w:rsidRPr="000C541E">
        <w:rPr>
          <w:i w:val="0"/>
          <w:iCs/>
        </w:rPr>
        <w:t xml:space="preserve">, 81 F.3d at 1486); see also, </w:t>
      </w:r>
      <w:r w:rsidRPr="00097673">
        <w:t>Reed v. City of Emeryville</w:t>
      </w:r>
      <w:r w:rsidRPr="00C04D30">
        <w:rPr>
          <w:i w:val="0"/>
          <w:iCs/>
        </w:rPr>
        <w:t>,</w:t>
      </w:r>
      <w:r w:rsidRPr="000C541E">
        <w:rPr>
          <w:i w:val="0"/>
          <w:iCs/>
        </w:rPr>
        <w:t xml:space="preserve"> 568 F. Supp. 3d 1029, 1044 (N.D. Cal. 2021) (holding that at the pleadings stage, the court could not determine whether single rooms might be a fundamental alteration).</w:t>
      </w:r>
    </w:p>
  </w:footnote>
  <w:footnote w:id="124">
    <w:p w14:paraId="3E846B42" w14:textId="167244FB" w:rsidR="007C794D" w:rsidRPr="000C541E" w:rsidRDefault="007C794D" w:rsidP="00BE5D97">
      <w:pPr>
        <w:pStyle w:val="FootnoteText"/>
        <w:spacing w:after="0" w:line="220" w:lineRule="exact"/>
        <w:rPr>
          <w:i w:val="0"/>
          <w:iCs/>
        </w:rPr>
      </w:pPr>
      <w:r w:rsidRPr="00C04D30">
        <w:rPr>
          <w:rStyle w:val="FootnoteReference"/>
          <w:i w:val="0"/>
          <w:iCs/>
        </w:rPr>
        <w:footnoteRef/>
      </w:r>
      <w:r w:rsidRPr="000C541E">
        <w:rPr>
          <w:i w:val="0"/>
          <w:iCs/>
        </w:rPr>
        <w:t xml:space="preserve"> </w:t>
      </w:r>
      <w:r w:rsidR="7137271A" w:rsidRPr="00C04D30">
        <w:t>Where Do We Go Berkeley</w:t>
      </w:r>
      <w:r w:rsidR="7137271A" w:rsidRPr="000C541E">
        <w:rPr>
          <w:i w:val="0"/>
          <w:iCs/>
        </w:rPr>
        <w:t>, 32 F.4th at 861-862.</w:t>
      </w:r>
    </w:p>
  </w:footnote>
  <w:footnote w:id="125">
    <w:p w14:paraId="79139193" w14:textId="55EB81B1" w:rsidR="007C794D" w:rsidRPr="00AF6496" w:rsidRDefault="007C794D" w:rsidP="00BE5D97">
      <w:pPr>
        <w:pStyle w:val="FootnoteText"/>
        <w:spacing w:after="0" w:line="220" w:lineRule="exact"/>
      </w:pPr>
      <w:r w:rsidRPr="00C04D30">
        <w:rPr>
          <w:rStyle w:val="FootnoteReference"/>
          <w:i w:val="0"/>
          <w:iCs/>
        </w:rPr>
        <w:footnoteRef/>
      </w:r>
      <w:r w:rsidRPr="000C541E">
        <w:rPr>
          <w:i w:val="0"/>
          <w:iCs/>
        </w:rPr>
        <w:t xml:space="preserve"> </w:t>
      </w:r>
      <w:r w:rsidRPr="00C04D30">
        <w:t>Id.</w:t>
      </w:r>
      <w:r w:rsidRPr="000C541E">
        <w:rPr>
          <w:i w:val="0"/>
          <w:iCs/>
        </w:rPr>
        <w:t xml:space="preserve"> at 86</w:t>
      </w:r>
      <w:r w:rsidR="001318DF" w:rsidRPr="000C541E">
        <w:rPr>
          <w:i w:val="0"/>
          <w:iCs/>
        </w:rPr>
        <w:t>2</w:t>
      </w:r>
      <w:r w:rsidRPr="000C541E">
        <w:rPr>
          <w:i w:val="0"/>
          <w:iCs/>
        </w:rPr>
        <w:t>.</w:t>
      </w:r>
    </w:p>
  </w:footnote>
  <w:footnote w:id="126">
    <w:p w14:paraId="2DBEA97A" w14:textId="1852C546" w:rsidR="00ED7D50" w:rsidRPr="000C541E" w:rsidRDefault="00ED7D50" w:rsidP="00BE5D97">
      <w:pPr>
        <w:pStyle w:val="FootnoteText"/>
        <w:spacing w:after="0" w:line="220" w:lineRule="exact"/>
        <w:rPr>
          <w:i w:val="0"/>
          <w:iCs/>
        </w:rPr>
      </w:pPr>
      <w:r w:rsidRPr="00C04D30">
        <w:rPr>
          <w:rStyle w:val="FootnoteReference"/>
          <w:i w:val="0"/>
          <w:iCs/>
        </w:rPr>
        <w:footnoteRef/>
      </w:r>
      <w:r w:rsidRPr="000C541E">
        <w:rPr>
          <w:i w:val="0"/>
          <w:iCs/>
        </w:rPr>
        <w:t xml:space="preserve"> </w:t>
      </w:r>
      <w:r w:rsidRPr="00C04D30">
        <w:t>Prado</w:t>
      </w:r>
      <w:r w:rsidRPr="000C541E">
        <w:rPr>
          <w:i w:val="0"/>
          <w:iCs/>
        </w:rPr>
        <w:t xml:space="preserve">, </w:t>
      </w:r>
      <w:r w:rsidR="7137271A" w:rsidRPr="000C541E">
        <w:rPr>
          <w:i w:val="0"/>
          <w:iCs/>
        </w:rPr>
        <w:t>2024 U.S. Dist. LEXIS 139836.</w:t>
      </w:r>
    </w:p>
  </w:footnote>
  <w:footnote w:id="127">
    <w:p w14:paraId="677997D9" w14:textId="30E517AD" w:rsidR="00C14EEF" w:rsidRPr="000C541E" w:rsidRDefault="00C14EEF" w:rsidP="00BE5D97">
      <w:pPr>
        <w:pStyle w:val="FootnoteText"/>
        <w:spacing w:after="0" w:line="220" w:lineRule="exact"/>
        <w:rPr>
          <w:i w:val="0"/>
          <w:iCs/>
        </w:rPr>
      </w:pPr>
      <w:r w:rsidRPr="00097673">
        <w:rPr>
          <w:rStyle w:val="FootnoteReference"/>
          <w:i w:val="0"/>
          <w:iCs/>
        </w:rPr>
        <w:footnoteRef/>
      </w:r>
      <w:r w:rsidRPr="000C541E">
        <w:rPr>
          <w:i w:val="0"/>
          <w:iCs/>
        </w:rPr>
        <w:t xml:space="preserve"> 28 C.F.R. pt. 35 app. B (2024).</w:t>
      </w:r>
    </w:p>
  </w:footnote>
  <w:footnote w:id="128">
    <w:p w14:paraId="3EB0EB9D" w14:textId="0ED0D184" w:rsidR="002D4121" w:rsidRPr="000C541E" w:rsidRDefault="002D4121" w:rsidP="00BE5D97">
      <w:pPr>
        <w:pStyle w:val="FootnoteText"/>
        <w:spacing w:after="0" w:line="220" w:lineRule="exact"/>
        <w:rPr>
          <w:i w:val="0"/>
          <w:iCs/>
        </w:rPr>
      </w:pPr>
      <w:r w:rsidRPr="00097673">
        <w:rPr>
          <w:rStyle w:val="FootnoteReference"/>
          <w:i w:val="0"/>
          <w:iCs/>
        </w:rPr>
        <w:footnoteRef/>
      </w:r>
      <w:r w:rsidRPr="000C541E">
        <w:rPr>
          <w:i w:val="0"/>
          <w:iCs/>
        </w:rPr>
        <w:t xml:space="preserve"> 28 C.F.R. § 35.150(a)(3) (2024).</w:t>
      </w:r>
    </w:p>
  </w:footnote>
  <w:footnote w:id="129">
    <w:p w14:paraId="5BD41839" w14:textId="69152A33" w:rsidR="007B6D01" w:rsidRPr="000C541E" w:rsidRDefault="007B6D01" w:rsidP="00BE5D97">
      <w:pPr>
        <w:pStyle w:val="FootnoteText"/>
        <w:spacing w:after="0" w:line="220" w:lineRule="exact"/>
        <w:rPr>
          <w:i w:val="0"/>
          <w:iCs/>
        </w:rPr>
      </w:pPr>
      <w:r w:rsidRPr="00097673">
        <w:rPr>
          <w:rStyle w:val="FootnoteReference"/>
          <w:i w:val="0"/>
          <w:iCs/>
        </w:rPr>
        <w:footnoteRef/>
      </w:r>
      <w:r w:rsidRPr="000C541E">
        <w:rPr>
          <w:i w:val="0"/>
          <w:iCs/>
        </w:rPr>
        <w:t xml:space="preserve"> </w:t>
      </w:r>
      <w:r w:rsidRPr="00097673">
        <w:t>Id.</w:t>
      </w:r>
      <w:r w:rsidRPr="000C541E">
        <w:rPr>
          <w:i w:val="0"/>
          <w:iCs/>
        </w:rPr>
        <w:t xml:space="preserve"> </w:t>
      </w:r>
    </w:p>
  </w:footnote>
  <w:footnote w:id="130">
    <w:p w14:paraId="339EDBB6" w14:textId="68EF7D03" w:rsidR="00871FC0" w:rsidRPr="00AF6496" w:rsidRDefault="00871FC0" w:rsidP="00BE5D97">
      <w:pPr>
        <w:pStyle w:val="FootnoteText"/>
        <w:spacing w:after="0" w:line="220" w:lineRule="exact"/>
      </w:pPr>
      <w:r w:rsidRPr="00097673">
        <w:rPr>
          <w:rStyle w:val="FootnoteReference"/>
          <w:i w:val="0"/>
          <w:iCs/>
        </w:rPr>
        <w:footnoteRef/>
      </w:r>
      <w:r w:rsidRPr="000C541E">
        <w:rPr>
          <w:i w:val="0"/>
          <w:iCs/>
        </w:rPr>
        <w:t xml:space="preserve"> 28 C.F.R. pt. 35 </w:t>
      </w:r>
      <w:r w:rsidR="00D618DA" w:rsidRPr="000C541E">
        <w:rPr>
          <w:i w:val="0"/>
          <w:iCs/>
        </w:rPr>
        <w:t>a</w:t>
      </w:r>
      <w:r w:rsidRPr="000C541E">
        <w:rPr>
          <w:i w:val="0"/>
          <w:iCs/>
        </w:rPr>
        <w:t>pp. B.</w:t>
      </w:r>
      <w:r w:rsidR="00D618DA" w:rsidRPr="000C541E">
        <w:rPr>
          <w:i w:val="0"/>
          <w:iCs/>
        </w:rPr>
        <w:t xml:space="preserve"> (2024).</w:t>
      </w:r>
      <w:r w:rsidR="00D618DA" w:rsidRPr="00AF6496">
        <w:t xml:space="preserve"> </w:t>
      </w:r>
    </w:p>
  </w:footnote>
  <w:footnote w:id="131">
    <w:p w14:paraId="50EC6931" w14:textId="5447C787" w:rsidR="00FA1F84" w:rsidRDefault="00FA1F84" w:rsidP="00BE5D97">
      <w:pPr>
        <w:pStyle w:val="FootnoteText"/>
        <w:spacing w:after="0" w:line="220" w:lineRule="exact"/>
      </w:pPr>
      <w:r w:rsidRPr="00FA1F84">
        <w:rPr>
          <w:rStyle w:val="FootnoteReference"/>
          <w:i w:val="0"/>
          <w:iCs/>
        </w:rPr>
        <w:footnoteRef/>
      </w:r>
      <w:r w:rsidRPr="00FA1F84">
        <w:rPr>
          <w:i w:val="0"/>
          <w:iCs/>
        </w:rPr>
        <w:t xml:space="preserve"> </w:t>
      </w:r>
      <w:r w:rsidRPr="00FA1F84">
        <w:t>Witt</w:t>
      </w:r>
      <w:r w:rsidRPr="00FA1F84">
        <w:rPr>
          <w:i w:val="0"/>
          <w:iCs/>
        </w:rPr>
        <w:t xml:space="preserve">, 2021 U.S. Dist. LEXIS 216758, at *12 (quoting </w:t>
      </w:r>
      <w:r w:rsidRPr="00FA1F84">
        <w:t>Lockett v. Catalina Channel Exp., Inc</w:t>
      </w:r>
      <w:r w:rsidRPr="00FA1F84">
        <w:rPr>
          <w:i w:val="0"/>
          <w:iCs/>
        </w:rPr>
        <w:t>., 496 F.3d 1061, 1066 (9th Cir. 2007).</w:t>
      </w:r>
    </w:p>
  </w:footnote>
  <w:footnote w:id="132">
    <w:p w14:paraId="0B73C556" w14:textId="34E2BF48" w:rsidR="5A3FE6F3" w:rsidRPr="00AF6496" w:rsidRDefault="5A3FE6F3" w:rsidP="00BE5D97">
      <w:pPr>
        <w:pStyle w:val="FootnoteText"/>
        <w:spacing w:after="0" w:line="220" w:lineRule="exact"/>
      </w:pPr>
      <w:r w:rsidRPr="00097673">
        <w:rPr>
          <w:rStyle w:val="FootnoteReference"/>
          <w:i w:val="0"/>
          <w:iCs/>
        </w:rPr>
        <w:footnoteRef/>
      </w:r>
      <w:r w:rsidRPr="00097673">
        <w:t xml:space="preserve"> </w:t>
      </w:r>
      <w:r w:rsidRPr="00FA1F84">
        <w:rPr>
          <w:i w:val="0"/>
          <w:iCs/>
        </w:rPr>
        <w:t>28 C.F.R. § 35.139(b) (2024).</w:t>
      </w:r>
    </w:p>
  </w:footnote>
  <w:footnote w:id="133">
    <w:p w14:paraId="0802A773" w14:textId="1C1A2943" w:rsidR="5A3FE6F3" w:rsidRPr="008A1EBE" w:rsidRDefault="5A3FE6F3" w:rsidP="00BE5D97">
      <w:pPr>
        <w:pStyle w:val="FootnoteText"/>
        <w:spacing w:after="0" w:line="220" w:lineRule="exact"/>
        <w:rPr>
          <w:i w:val="0"/>
          <w:iCs/>
        </w:rPr>
      </w:pPr>
      <w:r w:rsidRPr="00097673">
        <w:rPr>
          <w:rStyle w:val="FootnoteReference"/>
          <w:i w:val="0"/>
          <w:iCs/>
        </w:rPr>
        <w:footnoteRef/>
      </w:r>
      <w:r w:rsidRPr="00097673">
        <w:rPr>
          <w:i w:val="0"/>
          <w:iCs/>
        </w:rPr>
        <w:t xml:space="preserve"> </w:t>
      </w:r>
      <w:r w:rsidR="0019603D" w:rsidRPr="00097673">
        <w:t>Witt v. Bristol Farms</w:t>
      </w:r>
      <w:r w:rsidR="0019603D" w:rsidRPr="008A1EBE">
        <w:rPr>
          <w:i w:val="0"/>
          <w:iCs/>
        </w:rPr>
        <w:t>, No. 21-cv-00411-BAS-AGS, 2021 U.S. Dist. LEXIS 216758, at *13 (S.D. Cal. Nov. 9, 2021)</w:t>
      </w:r>
      <w:r w:rsidR="00FA1F84">
        <w:rPr>
          <w:i w:val="0"/>
          <w:iCs/>
        </w:rPr>
        <w:t>.</w:t>
      </w:r>
    </w:p>
  </w:footnote>
  <w:footnote w:id="134">
    <w:p w14:paraId="54368E7A" w14:textId="4866AD83" w:rsidR="00B80194" w:rsidRPr="008A1EBE" w:rsidRDefault="00FA1F84" w:rsidP="00BE5D97">
      <w:pPr>
        <w:pStyle w:val="FootnoteText"/>
        <w:spacing w:after="0" w:line="220" w:lineRule="exact"/>
        <w:rPr>
          <w:i w:val="0"/>
          <w:iCs/>
        </w:rPr>
      </w:pPr>
      <w:r w:rsidRPr="00097673">
        <w:rPr>
          <w:rStyle w:val="FootnoteReference"/>
          <w:i w:val="0"/>
          <w:iCs/>
        </w:rPr>
        <w:footnoteRef/>
      </w:r>
      <w:r w:rsidRPr="00097673">
        <w:t xml:space="preserve"> </w:t>
      </w:r>
      <w:r w:rsidRPr="00FA1F84">
        <w:rPr>
          <w:i w:val="0"/>
          <w:iCs/>
        </w:rPr>
        <w:t>28 C.F.R. § 35.139(b) (2024).</w:t>
      </w:r>
    </w:p>
  </w:footnote>
  <w:footnote w:id="135">
    <w:p w14:paraId="58FCFB7E" w14:textId="2DFEF0A4" w:rsidR="006B0E24" w:rsidRPr="008A1EBE" w:rsidRDefault="006B0E24" w:rsidP="00BE5D97">
      <w:pPr>
        <w:pStyle w:val="FootnoteText"/>
        <w:spacing w:after="0" w:line="220" w:lineRule="exact"/>
        <w:rPr>
          <w:i w:val="0"/>
          <w:iCs/>
        </w:rPr>
      </w:pPr>
      <w:r w:rsidRPr="00097673">
        <w:rPr>
          <w:rStyle w:val="FootnoteReference"/>
          <w:i w:val="0"/>
          <w:iCs/>
        </w:rPr>
        <w:footnoteRef/>
      </w:r>
      <w:r w:rsidRPr="00097673">
        <w:rPr>
          <w:i w:val="0"/>
          <w:iCs/>
        </w:rPr>
        <w:t xml:space="preserve"> </w:t>
      </w:r>
      <w:r w:rsidRPr="00097673">
        <w:t>Bay Area Addiction Research &amp; Treatment, Inc. v. City of Antioch</w:t>
      </w:r>
      <w:r w:rsidRPr="008A1EBE">
        <w:rPr>
          <w:i w:val="0"/>
          <w:iCs/>
        </w:rPr>
        <w:t>, 179 F.3d 725, 735 (9th Cir. 1999).</w:t>
      </w:r>
    </w:p>
  </w:footnote>
  <w:footnote w:id="136">
    <w:p w14:paraId="2E0B0477" w14:textId="7A669774" w:rsidR="00FD02C9" w:rsidRPr="00AF6496" w:rsidRDefault="00FD02C9" w:rsidP="00BE5D97">
      <w:pPr>
        <w:pStyle w:val="FootnoteText"/>
        <w:spacing w:after="0" w:line="220" w:lineRule="exact"/>
      </w:pPr>
      <w:r w:rsidRPr="00097673">
        <w:rPr>
          <w:rStyle w:val="FootnoteReference"/>
          <w:i w:val="0"/>
          <w:iCs/>
        </w:rPr>
        <w:footnoteRef/>
      </w:r>
      <w:r w:rsidRPr="00097673">
        <w:rPr>
          <w:i w:val="0"/>
          <w:iCs/>
        </w:rPr>
        <w:t xml:space="preserve"> </w:t>
      </w:r>
      <w:r w:rsidRPr="008A1EBE">
        <w:rPr>
          <w:i w:val="0"/>
          <w:iCs/>
        </w:rPr>
        <w:t>28 C.F.R. § 35.139(a) (2024)</w:t>
      </w:r>
      <w:r w:rsidR="00492EB0" w:rsidRPr="008A1EBE">
        <w:rPr>
          <w:i w:val="0"/>
          <w:iCs/>
        </w:rPr>
        <w:t xml:space="preserve">; </w:t>
      </w:r>
      <w:r w:rsidR="00492EB0" w:rsidRPr="00097673">
        <w:t>Est. of Shafer v. City of Spokane</w:t>
      </w:r>
      <w:r w:rsidR="00492EB0" w:rsidRPr="008A1EBE">
        <w:rPr>
          <w:i w:val="0"/>
          <w:iCs/>
        </w:rPr>
        <w:t>, No. 2:22-CV-0220-TOR, 2023 U.S. Dist. LEXIS 201057 (E.D. Wash. Nov. 8, 2023)</w:t>
      </w:r>
      <w:r w:rsidR="00791B71" w:rsidRPr="008A1EBE">
        <w:rPr>
          <w:i w:val="0"/>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1BBD"/>
    <w:multiLevelType w:val="hybridMultilevel"/>
    <w:tmpl w:val="1BA630B6"/>
    <w:lvl w:ilvl="0" w:tplc="286E7764">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B42A5CAE">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1376B"/>
    <w:multiLevelType w:val="hybridMultilevel"/>
    <w:tmpl w:val="40CE9546"/>
    <w:lvl w:ilvl="0" w:tplc="484A9688">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63E891"/>
    <w:multiLevelType w:val="hybridMultilevel"/>
    <w:tmpl w:val="BB540F1E"/>
    <w:lvl w:ilvl="0" w:tplc="2F24D5A0">
      <w:start w:val="1"/>
      <w:numFmt w:val="bullet"/>
      <w:lvlText w:val=""/>
      <w:lvlJc w:val="left"/>
      <w:pPr>
        <w:ind w:left="720" w:hanging="360"/>
      </w:pPr>
      <w:rPr>
        <w:rFonts w:ascii="Symbol" w:hAnsi="Symbol" w:hint="default"/>
      </w:rPr>
    </w:lvl>
    <w:lvl w:ilvl="1" w:tplc="F43E77DC">
      <w:start w:val="1"/>
      <w:numFmt w:val="bullet"/>
      <w:lvlText w:val="o"/>
      <w:lvlJc w:val="left"/>
      <w:pPr>
        <w:ind w:left="1440" w:hanging="360"/>
      </w:pPr>
      <w:rPr>
        <w:rFonts w:ascii="&quot;Courier New&quot;" w:hAnsi="&quot;Courier New&quot;" w:hint="default"/>
      </w:rPr>
    </w:lvl>
    <w:lvl w:ilvl="2" w:tplc="D0A4CEE6">
      <w:start w:val="1"/>
      <w:numFmt w:val="bullet"/>
      <w:lvlText w:val=""/>
      <w:lvlJc w:val="left"/>
      <w:pPr>
        <w:ind w:left="2160" w:hanging="360"/>
      </w:pPr>
      <w:rPr>
        <w:rFonts w:ascii="Wingdings" w:hAnsi="Wingdings" w:hint="default"/>
      </w:rPr>
    </w:lvl>
    <w:lvl w:ilvl="3" w:tplc="FE661CD6">
      <w:start w:val="1"/>
      <w:numFmt w:val="bullet"/>
      <w:lvlText w:val=""/>
      <w:lvlJc w:val="left"/>
      <w:pPr>
        <w:ind w:left="2880" w:hanging="360"/>
      </w:pPr>
      <w:rPr>
        <w:rFonts w:ascii="Symbol" w:hAnsi="Symbol" w:hint="default"/>
      </w:rPr>
    </w:lvl>
    <w:lvl w:ilvl="4" w:tplc="AF864180">
      <w:start w:val="1"/>
      <w:numFmt w:val="bullet"/>
      <w:lvlText w:val="o"/>
      <w:lvlJc w:val="left"/>
      <w:pPr>
        <w:ind w:left="3600" w:hanging="360"/>
      </w:pPr>
      <w:rPr>
        <w:rFonts w:ascii="Courier New" w:hAnsi="Courier New" w:hint="default"/>
      </w:rPr>
    </w:lvl>
    <w:lvl w:ilvl="5" w:tplc="274C00FC">
      <w:start w:val="1"/>
      <w:numFmt w:val="bullet"/>
      <w:lvlText w:val=""/>
      <w:lvlJc w:val="left"/>
      <w:pPr>
        <w:ind w:left="4320" w:hanging="360"/>
      </w:pPr>
      <w:rPr>
        <w:rFonts w:ascii="Wingdings" w:hAnsi="Wingdings" w:hint="default"/>
      </w:rPr>
    </w:lvl>
    <w:lvl w:ilvl="6" w:tplc="FFBEDBF6">
      <w:start w:val="1"/>
      <w:numFmt w:val="bullet"/>
      <w:lvlText w:val=""/>
      <w:lvlJc w:val="left"/>
      <w:pPr>
        <w:ind w:left="5040" w:hanging="360"/>
      </w:pPr>
      <w:rPr>
        <w:rFonts w:ascii="Symbol" w:hAnsi="Symbol" w:hint="default"/>
      </w:rPr>
    </w:lvl>
    <w:lvl w:ilvl="7" w:tplc="27A0ABF0">
      <w:start w:val="1"/>
      <w:numFmt w:val="bullet"/>
      <w:lvlText w:val="o"/>
      <w:lvlJc w:val="left"/>
      <w:pPr>
        <w:ind w:left="5760" w:hanging="360"/>
      </w:pPr>
      <w:rPr>
        <w:rFonts w:ascii="Courier New" w:hAnsi="Courier New" w:hint="default"/>
      </w:rPr>
    </w:lvl>
    <w:lvl w:ilvl="8" w:tplc="93E2DAAE">
      <w:start w:val="1"/>
      <w:numFmt w:val="bullet"/>
      <w:lvlText w:val=""/>
      <w:lvlJc w:val="left"/>
      <w:pPr>
        <w:ind w:left="6480" w:hanging="360"/>
      </w:pPr>
      <w:rPr>
        <w:rFonts w:ascii="Wingdings" w:hAnsi="Wingdings" w:hint="default"/>
      </w:rPr>
    </w:lvl>
  </w:abstractNum>
  <w:abstractNum w:abstractNumId="3" w15:restartNumberingAfterBreak="0">
    <w:nsid w:val="249C2FA7"/>
    <w:multiLevelType w:val="hybridMultilevel"/>
    <w:tmpl w:val="A0267D2E"/>
    <w:lvl w:ilvl="0" w:tplc="0409000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8A7561F"/>
    <w:multiLevelType w:val="hybridMultilevel"/>
    <w:tmpl w:val="4878778E"/>
    <w:lvl w:ilvl="0" w:tplc="D62006DC">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C708C0"/>
    <w:multiLevelType w:val="hybridMultilevel"/>
    <w:tmpl w:val="17C67E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597BD7"/>
    <w:multiLevelType w:val="hybridMultilevel"/>
    <w:tmpl w:val="9A6ED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F32EC3"/>
    <w:multiLevelType w:val="hybridMultilevel"/>
    <w:tmpl w:val="767AC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AA17B3"/>
    <w:multiLevelType w:val="hybridMultilevel"/>
    <w:tmpl w:val="7E32D4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038C4B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F36907"/>
    <w:multiLevelType w:val="hybridMultilevel"/>
    <w:tmpl w:val="A02094E2"/>
    <w:lvl w:ilvl="0" w:tplc="020E2D6A">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A7E09E2"/>
    <w:multiLevelType w:val="hybridMultilevel"/>
    <w:tmpl w:val="58B698F8"/>
    <w:lvl w:ilvl="0" w:tplc="C492B3CC">
      <w:start w:val="9"/>
      <w:numFmt w:val="low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57014788">
    <w:abstractNumId w:val="2"/>
  </w:num>
  <w:num w:numId="2" w16cid:durableId="1338385676">
    <w:abstractNumId w:val="8"/>
  </w:num>
  <w:num w:numId="3" w16cid:durableId="341862854">
    <w:abstractNumId w:val="0"/>
  </w:num>
  <w:num w:numId="4" w16cid:durableId="866329788">
    <w:abstractNumId w:val="5"/>
  </w:num>
  <w:num w:numId="5" w16cid:durableId="1180240854">
    <w:abstractNumId w:val="3"/>
  </w:num>
  <w:num w:numId="6" w16cid:durableId="759256358">
    <w:abstractNumId w:val="6"/>
  </w:num>
  <w:num w:numId="7" w16cid:durableId="94636187">
    <w:abstractNumId w:val="10"/>
  </w:num>
  <w:num w:numId="8" w16cid:durableId="1710182995">
    <w:abstractNumId w:val="9"/>
  </w:num>
  <w:num w:numId="9" w16cid:durableId="1858500756">
    <w:abstractNumId w:val="4"/>
  </w:num>
  <w:num w:numId="10" w16cid:durableId="824206953">
    <w:abstractNumId w:val="1"/>
  </w:num>
  <w:num w:numId="11" w16cid:durableId="8869871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17C"/>
    <w:rsid w:val="00002805"/>
    <w:rsid w:val="00003CC0"/>
    <w:rsid w:val="00004370"/>
    <w:rsid w:val="00004BC7"/>
    <w:rsid w:val="00004ED4"/>
    <w:rsid w:val="0000676E"/>
    <w:rsid w:val="00007217"/>
    <w:rsid w:val="00007D46"/>
    <w:rsid w:val="0001156F"/>
    <w:rsid w:val="00011F1C"/>
    <w:rsid w:val="000123FB"/>
    <w:rsid w:val="0001348F"/>
    <w:rsid w:val="00013693"/>
    <w:rsid w:val="00013D48"/>
    <w:rsid w:val="00014C57"/>
    <w:rsid w:val="0002587C"/>
    <w:rsid w:val="000264E2"/>
    <w:rsid w:val="000308E3"/>
    <w:rsid w:val="00031B9D"/>
    <w:rsid w:val="000339CE"/>
    <w:rsid w:val="00033CEA"/>
    <w:rsid w:val="00033EF0"/>
    <w:rsid w:val="00036593"/>
    <w:rsid w:val="00037111"/>
    <w:rsid w:val="000372D8"/>
    <w:rsid w:val="00040332"/>
    <w:rsid w:val="00040F35"/>
    <w:rsid w:val="00041AC0"/>
    <w:rsid w:val="00042A64"/>
    <w:rsid w:val="0004538A"/>
    <w:rsid w:val="000459CA"/>
    <w:rsid w:val="00045FF6"/>
    <w:rsid w:val="00046539"/>
    <w:rsid w:val="00046841"/>
    <w:rsid w:val="00047883"/>
    <w:rsid w:val="0005038F"/>
    <w:rsid w:val="00051505"/>
    <w:rsid w:val="00051A15"/>
    <w:rsid w:val="00052AAB"/>
    <w:rsid w:val="00053F31"/>
    <w:rsid w:val="00054845"/>
    <w:rsid w:val="00054E5D"/>
    <w:rsid w:val="00055346"/>
    <w:rsid w:val="00055519"/>
    <w:rsid w:val="00056FE3"/>
    <w:rsid w:val="000579E2"/>
    <w:rsid w:val="00060AF4"/>
    <w:rsid w:val="000620A5"/>
    <w:rsid w:val="00062846"/>
    <w:rsid w:val="000630A6"/>
    <w:rsid w:val="00064AC4"/>
    <w:rsid w:val="0007095D"/>
    <w:rsid w:val="00071E09"/>
    <w:rsid w:val="00072328"/>
    <w:rsid w:val="00073818"/>
    <w:rsid w:val="000761C6"/>
    <w:rsid w:val="00080487"/>
    <w:rsid w:val="0008087A"/>
    <w:rsid w:val="00080C22"/>
    <w:rsid w:val="0008341A"/>
    <w:rsid w:val="0008544A"/>
    <w:rsid w:val="0008649B"/>
    <w:rsid w:val="00086941"/>
    <w:rsid w:val="00086FD1"/>
    <w:rsid w:val="00090A23"/>
    <w:rsid w:val="00091BE7"/>
    <w:rsid w:val="000922BD"/>
    <w:rsid w:val="0009369E"/>
    <w:rsid w:val="00093C5C"/>
    <w:rsid w:val="0009436C"/>
    <w:rsid w:val="00094649"/>
    <w:rsid w:val="00096ED7"/>
    <w:rsid w:val="00097338"/>
    <w:rsid w:val="00097673"/>
    <w:rsid w:val="000A0DAA"/>
    <w:rsid w:val="000A24C0"/>
    <w:rsid w:val="000A46B7"/>
    <w:rsid w:val="000A4B2A"/>
    <w:rsid w:val="000A6E4B"/>
    <w:rsid w:val="000B2BCC"/>
    <w:rsid w:val="000B3943"/>
    <w:rsid w:val="000B3B10"/>
    <w:rsid w:val="000B77B5"/>
    <w:rsid w:val="000B7BBA"/>
    <w:rsid w:val="000C1BFE"/>
    <w:rsid w:val="000C1C73"/>
    <w:rsid w:val="000C2DF3"/>
    <w:rsid w:val="000C48D2"/>
    <w:rsid w:val="000C4E5E"/>
    <w:rsid w:val="000C540F"/>
    <w:rsid w:val="000C541E"/>
    <w:rsid w:val="000C5C2A"/>
    <w:rsid w:val="000C7E08"/>
    <w:rsid w:val="000D08C2"/>
    <w:rsid w:val="000D1FBB"/>
    <w:rsid w:val="000D2EAF"/>
    <w:rsid w:val="000D319D"/>
    <w:rsid w:val="000D3E5F"/>
    <w:rsid w:val="000D4FF5"/>
    <w:rsid w:val="000D5F97"/>
    <w:rsid w:val="000D5FA7"/>
    <w:rsid w:val="000D6465"/>
    <w:rsid w:val="000D692E"/>
    <w:rsid w:val="000D77D7"/>
    <w:rsid w:val="000E0F47"/>
    <w:rsid w:val="000E1D73"/>
    <w:rsid w:val="000E409D"/>
    <w:rsid w:val="000E42A0"/>
    <w:rsid w:val="000E437C"/>
    <w:rsid w:val="000E5501"/>
    <w:rsid w:val="000E5706"/>
    <w:rsid w:val="000E7371"/>
    <w:rsid w:val="000E7704"/>
    <w:rsid w:val="000E7C92"/>
    <w:rsid w:val="000F0975"/>
    <w:rsid w:val="000F0A37"/>
    <w:rsid w:val="000F0D30"/>
    <w:rsid w:val="000F127C"/>
    <w:rsid w:val="000F2037"/>
    <w:rsid w:val="000F378C"/>
    <w:rsid w:val="000F4613"/>
    <w:rsid w:val="000F503D"/>
    <w:rsid w:val="000F5426"/>
    <w:rsid w:val="000F5ACF"/>
    <w:rsid w:val="0010084F"/>
    <w:rsid w:val="00101556"/>
    <w:rsid w:val="00101C43"/>
    <w:rsid w:val="00102D35"/>
    <w:rsid w:val="00103E85"/>
    <w:rsid w:val="001041D5"/>
    <w:rsid w:val="001044B8"/>
    <w:rsid w:val="00105884"/>
    <w:rsid w:val="001077CA"/>
    <w:rsid w:val="00107F7B"/>
    <w:rsid w:val="00110CB9"/>
    <w:rsid w:val="00111BCC"/>
    <w:rsid w:val="00111C6F"/>
    <w:rsid w:val="001122A7"/>
    <w:rsid w:val="00112B15"/>
    <w:rsid w:val="00113888"/>
    <w:rsid w:val="001149B4"/>
    <w:rsid w:val="00116136"/>
    <w:rsid w:val="00117989"/>
    <w:rsid w:val="001208F4"/>
    <w:rsid w:val="001211A5"/>
    <w:rsid w:val="0012120C"/>
    <w:rsid w:val="00121CD0"/>
    <w:rsid w:val="0012247B"/>
    <w:rsid w:val="00122C58"/>
    <w:rsid w:val="00122E32"/>
    <w:rsid w:val="001312BD"/>
    <w:rsid w:val="00131751"/>
    <w:rsid w:val="001318DF"/>
    <w:rsid w:val="00132001"/>
    <w:rsid w:val="001336E1"/>
    <w:rsid w:val="00133BAF"/>
    <w:rsid w:val="0013427F"/>
    <w:rsid w:val="0013454C"/>
    <w:rsid w:val="00135599"/>
    <w:rsid w:val="001358EB"/>
    <w:rsid w:val="0013598B"/>
    <w:rsid w:val="00142EAE"/>
    <w:rsid w:val="00143237"/>
    <w:rsid w:val="00145321"/>
    <w:rsid w:val="0014553D"/>
    <w:rsid w:val="00146588"/>
    <w:rsid w:val="00147256"/>
    <w:rsid w:val="0014769D"/>
    <w:rsid w:val="00150F7C"/>
    <w:rsid w:val="001529D2"/>
    <w:rsid w:val="0016084A"/>
    <w:rsid w:val="00162879"/>
    <w:rsid w:val="001633AD"/>
    <w:rsid w:val="00163D8B"/>
    <w:rsid w:val="00164BD0"/>
    <w:rsid w:val="00165A74"/>
    <w:rsid w:val="00165E10"/>
    <w:rsid w:val="001706E1"/>
    <w:rsid w:val="00171FC8"/>
    <w:rsid w:val="00172748"/>
    <w:rsid w:val="00172CAC"/>
    <w:rsid w:val="00173839"/>
    <w:rsid w:val="00173AB4"/>
    <w:rsid w:val="00174CDC"/>
    <w:rsid w:val="00176855"/>
    <w:rsid w:val="001777C3"/>
    <w:rsid w:val="00181C71"/>
    <w:rsid w:val="0018260C"/>
    <w:rsid w:val="00182A88"/>
    <w:rsid w:val="00183606"/>
    <w:rsid w:val="00183C93"/>
    <w:rsid w:val="00184522"/>
    <w:rsid w:val="001853B3"/>
    <w:rsid w:val="00187185"/>
    <w:rsid w:val="0019358A"/>
    <w:rsid w:val="00193C37"/>
    <w:rsid w:val="0019603D"/>
    <w:rsid w:val="001A08D5"/>
    <w:rsid w:val="001A09AF"/>
    <w:rsid w:val="001A3DD8"/>
    <w:rsid w:val="001A50B7"/>
    <w:rsid w:val="001A50E1"/>
    <w:rsid w:val="001A7304"/>
    <w:rsid w:val="001A7723"/>
    <w:rsid w:val="001B0FFF"/>
    <w:rsid w:val="001B1845"/>
    <w:rsid w:val="001B2492"/>
    <w:rsid w:val="001B3887"/>
    <w:rsid w:val="001B3BE1"/>
    <w:rsid w:val="001B63F1"/>
    <w:rsid w:val="001B645C"/>
    <w:rsid w:val="001B7B66"/>
    <w:rsid w:val="001B7D73"/>
    <w:rsid w:val="001C04D4"/>
    <w:rsid w:val="001C19DE"/>
    <w:rsid w:val="001C57CB"/>
    <w:rsid w:val="001C6CC4"/>
    <w:rsid w:val="001C725B"/>
    <w:rsid w:val="001C7D27"/>
    <w:rsid w:val="001D019B"/>
    <w:rsid w:val="001D1229"/>
    <w:rsid w:val="001D3930"/>
    <w:rsid w:val="001D4404"/>
    <w:rsid w:val="001D5196"/>
    <w:rsid w:val="001D6948"/>
    <w:rsid w:val="001D6C16"/>
    <w:rsid w:val="001E20CF"/>
    <w:rsid w:val="001E26D6"/>
    <w:rsid w:val="001E2DA4"/>
    <w:rsid w:val="001E351F"/>
    <w:rsid w:val="001E4748"/>
    <w:rsid w:val="001E583B"/>
    <w:rsid w:val="001E5AFE"/>
    <w:rsid w:val="001F008E"/>
    <w:rsid w:val="001F0C21"/>
    <w:rsid w:val="001F2AD4"/>
    <w:rsid w:val="001F38FD"/>
    <w:rsid w:val="001F5188"/>
    <w:rsid w:val="001F5CE8"/>
    <w:rsid w:val="001F7839"/>
    <w:rsid w:val="00201388"/>
    <w:rsid w:val="00201F5A"/>
    <w:rsid w:val="00202319"/>
    <w:rsid w:val="00202884"/>
    <w:rsid w:val="00202CD5"/>
    <w:rsid w:val="00203561"/>
    <w:rsid w:val="00204998"/>
    <w:rsid w:val="00205E81"/>
    <w:rsid w:val="002064EB"/>
    <w:rsid w:val="002065E6"/>
    <w:rsid w:val="00207576"/>
    <w:rsid w:val="00207C8F"/>
    <w:rsid w:val="0021083D"/>
    <w:rsid w:val="00211B6D"/>
    <w:rsid w:val="0021299B"/>
    <w:rsid w:val="0021451C"/>
    <w:rsid w:val="0022012E"/>
    <w:rsid w:val="002204C1"/>
    <w:rsid w:val="00221ADC"/>
    <w:rsid w:val="002224E8"/>
    <w:rsid w:val="00224B2B"/>
    <w:rsid w:val="002252AE"/>
    <w:rsid w:val="002259F6"/>
    <w:rsid w:val="00226331"/>
    <w:rsid w:val="00227B02"/>
    <w:rsid w:val="0023116F"/>
    <w:rsid w:val="002315A8"/>
    <w:rsid w:val="00231668"/>
    <w:rsid w:val="00231A3E"/>
    <w:rsid w:val="002324E8"/>
    <w:rsid w:val="002332FF"/>
    <w:rsid w:val="00235196"/>
    <w:rsid w:val="00236754"/>
    <w:rsid w:val="00237034"/>
    <w:rsid w:val="002376DD"/>
    <w:rsid w:val="00241DDD"/>
    <w:rsid w:val="00242C53"/>
    <w:rsid w:val="00244FA6"/>
    <w:rsid w:val="002474C1"/>
    <w:rsid w:val="002476F4"/>
    <w:rsid w:val="002504A2"/>
    <w:rsid w:val="00253F73"/>
    <w:rsid w:val="002551B7"/>
    <w:rsid w:val="00257F48"/>
    <w:rsid w:val="00262177"/>
    <w:rsid w:val="00262573"/>
    <w:rsid w:val="002632B0"/>
    <w:rsid w:val="00264785"/>
    <w:rsid w:val="00264CA2"/>
    <w:rsid w:val="00264DD2"/>
    <w:rsid w:val="00265CB7"/>
    <w:rsid w:val="002662A1"/>
    <w:rsid w:val="00266366"/>
    <w:rsid w:val="00266617"/>
    <w:rsid w:val="00270A84"/>
    <w:rsid w:val="0027601C"/>
    <w:rsid w:val="002813C2"/>
    <w:rsid w:val="00282C00"/>
    <w:rsid w:val="00282FF5"/>
    <w:rsid w:val="00287EAB"/>
    <w:rsid w:val="00287F79"/>
    <w:rsid w:val="00290A9C"/>
    <w:rsid w:val="0029142F"/>
    <w:rsid w:val="002918F9"/>
    <w:rsid w:val="002939A4"/>
    <w:rsid w:val="002951EA"/>
    <w:rsid w:val="00296C98"/>
    <w:rsid w:val="002976A8"/>
    <w:rsid w:val="002A08E3"/>
    <w:rsid w:val="002A0F00"/>
    <w:rsid w:val="002A13D7"/>
    <w:rsid w:val="002A2447"/>
    <w:rsid w:val="002A4835"/>
    <w:rsid w:val="002A4BB7"/>
    <w:rsid w:val="002A4E8E"/>
    <w:rsid w:val="002B074B"/>
    <w:rsid w:val="002B12C3"/>
    <w:rsid w:val="002B193F"/>
    <w:rsid w:val="002B3F78"/>
    <w:rsid w:val="002B5EFB"/>
    <w:rsid w:val="002C0C95"/>
    <w:rsid w:val="002C1908"/>
    <w:rsid w:val="002C2943"/>
    <w:rsid w:val="002C5035"/>
    <w:rsid w:val="002D08EA"/>
    <w:rsid w:val="002D1E0D"/>
    <w:rsid w:val="002D4121"/>
    <w:rsid w:val="002D42F9"/>
    <w:rsid w:val="002D6140"/>
    <w:rsid w:val="002D75E5"/>
    <w:rsid w:val="002D7FCA"/>
    <w:rsid w:val="002E1B85"/>
    <w:rsid w:val="002E225B"/>
    <w:rsid w:val="002E2435"/>
    <w:rsid w:val="002E2B52"/>
    <w:rsid w:val="002E5163"/>
    <w:rsid w:val="002E5A7B"/>
    <w:rsid w:val="002E6247"/>
    <w:rsid w:val="002E6902"/>
    <w:rsid w:val="002E7619"/>
    <w:rsid w:val="002E7AE9"/>
    <w:rsid w:val="002F0252"/>
    <w:rsid w:val="002F062E"/>
    <w:rsid w:val="002F078A"/>
    <w:rsid w:val="002F0A69"/>
    <w:rsid w:val="002F1E14"/>
    <w:rsid w:val="002F35E5"/>
    <w:rsid w:val="002F3D19"/>
    <w:rsid w:val="002F3D8A"/>
    <w:rsid w:val="002F4A61"/>
    <w:rsid w:val="002F55E8"/>
    <w:rsid w:val="002F566F"/>
    <w:rsid w:val="002F57C1"/>
    <w:rsid w:val="002F6294"/>
    <w:rsid w:val="00301235"/>
    <w:rsid w:val="003016F7"/>
    <w:rsid w:val="0030339D"/>
    <w:rsid w:val="00304A94"/>
    <w:rsid w:val="00304DD2"/>
    <w:rsid w:val="00305002"/>
    <w:rsid w:val="00307773"/>
    <w:rsid w:val="00307A86"/>
    <w:rsid w:val="0031060A"/>
    <w:rsid w:val="003108AC"/>
    <w:rsid w:val="00315534"/>
    <w:rsid w:val="003156EA"/>
    <w:rsid w:val="00315D15"/>
    <w:rsid w:val="00316227"/>
    <w:rsid w:val="0031767E"/>
    <w:rsid w:val="0032321C"/>
    <w:rsid w:val="003253EC"/>
    <w:rsid w:val="00327026"/>
    <w:rsid w:val="00330A8E"/>
    <w:rsid w:val="00332AC6"/>
    <w:rsid w:val="00333780"/>
    <w:rsid w:val="00340894"/>
    <w:rsid w:val="00340BE3"/>
    <w:rsid w:val="00341D93"/>
    <w:rsid w:val="00345615"/>
    <w:rsid w:val="003458F5"/>
    <w:rsid w:val="00347543"/>
    <w:rsid w:val="00351988"/>
    <w:rsid w:val="00352055"/>
    <w:rsid w:val="00352B15"/>
    <w:rsid w:val="003531B4"/>
    <w:rsid w:val="003537EA"/>
    <w:rsid w:val="00356C3E"/>
    <w:rsid w:val="0035744D"/>
    <w:rsid w:val="0035794F"/>
    <w:rsid w:val="00357FB4"/>
    <w:rsid w:val="0036073B"/>
    <w:rsid w:val="00360C12"/>
    <w:rsid w:val="00361B23"/>
    <w:rsid w:val="00361D8F"/>
    <w:rsid w:val="00361F68"/>
    <w:rsid w:val="003621CA"/>
    <w:rsid w:val="003630C2"/>
    <w:rsid w:val="00364BB4"/>
    <w:rsid w:val="00365475"/>
    <w:rsid w:val="0036570D"/>
    <w:rsid w:val="00365EF6"/>
    <w:rsid w:val="0036638C"/>
    <w:rsid w:val="003666C9"/>
    <w:rsid w:val="00370CAD"/>
    <w:rsid w:val="0037131A"/>
    <w:rsid w:val="003715FB"/>
    <w:rsid w:val="00371B2D"/>
    <w:rsid w:val="00373053"/>
    <w:rsid w:val="00373335"/>
    <w:rsid w:val="00374515"/>
    <w:rsid w:val="00374FBC"/>
    <w:rsid w:val="00376C57"/>
    <w:rsid w:val="00377556"/>
    <w:rsid w:val="00377D72"/>
    <w:rsid w:val="00381B6C"/>
    <w:rsid w:val="0038588D"/>
    <w:rsid w:val="003876DA"/>
    <w:rsid w:val="003906C7"/>
    <w:rsid w:val="00393517"/>
    <w:rsid w:val="003935F3"/>
    <w:rsid w:val="0039532D"/>
    <w:rsid w:val="003963E2"/>
    <w:rsid w:val="0039701C"/>
    <w:rsid w:val="003978EC"/>
    <w:rsid w:val="00397DC9"/>
    <w:rsid w:val="00397F95"/>
    <w:rsid w:val="003A00C0"/>
    <w:rsid w:val="003A2AB9"/>
    <w:rsid w:val="003A35C6"/>
    <w:rsid w:val="003A3F51"/>
    <w:rsid w:val="003A470F"/>
    <w:rsid w:val="003A53AD"/>
    <w:rsid w:val="003A5C69"/>
    <w:rsid w:val="003A65FD"/>
    <w:rsid w:val="003A66E1"/>
    <w:rsid w:val="003A6930"/>
    <w:rsid w:val="003A6FAC"/>
    <w:rsid w:val="003A719C"/>
    <w:rsid w:val="003A7D88"/>
    <w:rsid w:val="003B6A9D"/>
    <w:rsid w:val="003B7825"/>
    <w:rsid w:val="003B7AC4"/>
    <w:rsid w:val="003C177C"/>
    <w:rsid w:val="003C1C53"/>
    <w:rsid w:val="003C204A"/>
    <w:rsid w:val="003C2351"/>
    <w:rsid w:val="003C2B5A"/>
    <w:rsid w:val="003C6278"/>
    <w:rsid w:val="003C67E5"/>
    <w:rsid w:val="003D11DF"/>
    <w:rsid w:val="003D1871"/>
    <w:rsid w:val="003D24E1"/>
    <w:rsid w:val="003D46F7"/>
    <w:rsid w:val="003D53FD"/>
    <w:rsid w:val="003D61A1"/>
    <w:rsid w:val="003D6BE7"/>
    <w:rsid w:val="003D7502"/>
    <w:rsid w:val="003D791C"/>
    <w:rsid w:val="003D7D88"/>
    <w:rsid w:val="003E0196"/>
    <w:rsid w:val="003E2AD2"/>
    <w:rsid w:val="003E2B52"/>
    <w:rsid w:val="003E48C2"/>
    <w:rsid w:val="003E5287"/>
    <w:rsid w:val="003E65D0"/>
    <w:rsid w:val="003E74A8"/>
    <w:rsid w:val="003E7D17"/>
    <w:rsid w:val="003F0941"/>
    <w:rsid w:val="003F2B02"/>
    <w:rsid w:val="003F52D1"/>
    <w:rsid w:val="003F5CF8"/>
    <w:rsid w:val="003F67F2"/>
    <w:rsid w:val="00400C4C"/>
    <w:rsid w:val="00404020"/>
    <w:rsid w:val="004046FD"/>
    <w:rsid w:val="00406C82"/>
    <w:rsid w:val="00407DE9"/>
    <w:rsid w:val="0041038D"/>
    <w:rsid w:val="00410FA1"/>
    <w:rsid w:val="004132C3"/>
    <w:rsid w:val="00413451"/>
    <w:rsid w:val="00413A9C"/>
    <w:rsid w:val="0041448D"/>
    <w:rsid w:val="004161C7"/>
    <w:rsid w:val="00417162"/>
    <w:rsid w:val="004171BC"/>
    <w:rsid w:val="004175A4"/>
    <w:rsid w:val="00417B8F"/>
    <w:rsid w:val="00417D61"/>
    <w:rsid w:val="00417DE4"/>
    <w:rsid w:val="004220A0"/>
    <w:rsid w:val="00422ACE"/>
    <w:rsid w:val="00422E65"/>
    <w:rsid w:val="00424576"/>
    <w:rsid w:val="00424CFE"/>
    <w:rsid w:val="004255F2"/>
    <w:rsid w:val="004256E1"/>
    <w:rsid w:val="00425F6B"/>
    <w:rsid w:val="00426399"/>
    <w:rsid w:val="004268C2"/>
    <w:rsid w:val="004272C8"/>
    <w:rsid w:val="00427827"/>
    <w:rsid w:val="004300CD"/>
    <w:rsid w:val="0043066D"/>
    <w:rsid w:val="004314A9"/>
    <w:rsid w:val="00431C3E"/>
    <w:rsid w:val="00432903"/>
    <w:rsid w:val="00432BAA"/>
    <w:rsid w:val="00433591"/>
    <w:rsid w:val="004339A1"/>
    <w:rsid w:val="00433CC6"/>
    <w:rsid w:val="00433DC2"/>
    <w:rsid w:val="00433E44"/>
    <w:rsid w:val="004343D0"/>
    <w:rsid w:val="004347F3"/>
    <w:rsid w:val="0043587C"/>
    <w:rsid w:val="0043692D"/>
    <w:rsid w:val="004374B4"/>
    <w:rsid w:val="00437E5E"/>
    <w:rsid w:val="00440A58"/>
    <w:rsid w:val="00441953"/>
    <w:rsid w:val="00442B0F"/>
    <w:rsid w:val="00443974"/>
    <w:rsid w:val="00444D69"/>
    <w:rsid w:val="004463D6"/>
    <w:rsid w:val="0044660F"/>
    <w:rsid w:val="00447273"/>
    <w:rsid w:val="004502CC"/>
    <w:rsid w:val="00451514"/>
    <w:rsid w:val="00451884"/>
    <w:rsid w:val="00454296"/>
    <w:rsid w:val="004559FA"/>
    <w:rsid w:val="00456220"/>
    <w:rsid w:val="0045667A"/>
    <w:rsid w:val="004569A7"/>
    <w:rsid w:val="00460488"/>
    <w:rsid w:val="004617B7"/>
    <w:rsid w:val="00461EA7"/>
    <w:rsid w:val="00463F0B"/>
    <w:rsid w:val="00464FC8"/>
    <w:rsid w:val="0046524F"/>
    <w:rsid w:val="00465B65"/>
    <w:rsid w:val="00466479"/>
    <w:rsid w:val="00473822"/>
    <w:rsid w:val="0047532A"/>
    <w:rsid w:val="00475A23"/>
    <w:rsid w:val="00476920"/>
    <w:rsid w:val="00480470"/>
    <w:rsid w:val="00480EDF"/>
    <w:rsid w:val="004836E0"/>
    <w:rsid w:val="00485BA3"/>
    <w:rsid w:val="00486349"/>
    <w:rsid w:val="00486DD1"/>
    <w:rsid w:val="00492655"/>
    <w:rsid w:val="004928AF"/>
    <w:rsid w:val="00492CBA"/>
    <w:rsid w:val="00492EB0"/>
    <w:rsid w:val="00493FF7"/>
    <w:rsid w:val="00495619"/>
    <w:rsid w:val="00496514"/>
    <w:rsid w:val="0049681D"/>
    <w:rsid w:val="004A15D8"/>
    <w:rsid w:val="004A1753"/>
    <w:rsid w:val="004A3669"/>
    <w:rsid w:val="004A601F"/>
    <w:rsid w:val="004A6C60"/>
    <w:rsid w:val="004B0577"/>
    <w:rsid w:val="004B08AD"/>
    <w:rsid w:val="004B0DAA"/>
    <w:rsid w:val="004B175C"/>
    <w:rsid w:val="004B2E00"/>
    <w:rsid w:val="004B3131"/>
    <w:rsid w:val="004B35E0"/>
    <w:rsid w:val="004B4568"/>
    <w:rsid w:val="004B7CC8"/>
    <w:rsid w:val="004C2343"/>
    <w:rsid w:val="004C4818"/>
    <w:rsid w:val="004C72F1"/>
    <w:rsid w:val="004C7C88"/>
    <w:rsid w:val="004D227B"/>
    <w:rsid w:val="004D2952"/>
    <w:rsid w:val="004D3589"/>
    <w:rsid w:val="004D54F7"/>
    <w:rsid w:val="004D5D60"/>
    <w:rsid w:val="004D5E89"/>
    <w:rsid w:val="004D78A7"/>
    <w:rsid w:val="004E0126"/>
    <w:rsid w:val="004E0BD7"/>
    <w:rsid w:val="004E0C77"/>
    <w:rsid w:val="004E1457"/>
    <w:rsid w:val="004E283C"/>
    <w:rsid w:val="004E362F"/>
    <w:rsid w:val="004E368F"/>
    <w:rsid w:val="004E5B6A"/>
    <w:rsid w:val="004E5C56"/>
    <w:rsid w:val="004E5F1B"/>
    <w:rsid w:val="004F1231"/>
    <w:rsid w:val="004F1309"/>
    <w:rsid w:val="004F1FC4"/>
    <w:rsid w:val="004F2142"/>
    <w:rsid w:val="004F2684"/>
    <w:rsid w:val="004F26CA"/>
    <w:rsid w:val="004F27BD"/>
    <w:rsid w:val="004F2B0A"/>
    <w:rsid w:val="004F2ED6"/>
    <w:rsid w:val="004F441A"/>
    <w:rsid w:val="004F48DD"/>
    <w:rsid w:val="004F4A93"/>
    <w:rsid w:val="005008E8"/>
    <w:rsid w:val="00501C5E"/>
    <w:rsid w:val="00503141"/>
    <w:rsid w:val="00504369"/>
    <w:rsid w:val="00505A2A"/>
    <w:rsid w:val="00505E95"/>
    <w:rsid w:val="00505F04"/>
    <w:rsid w:val="005061CB"/>
    <w:rsid w:val="00513DAF"/>
    <w:rsid w:val="005157E3"/>
    <w:rsid w:val="005170A5"/>
    <w:rsid w:val="0051769A"/>
    <w:rsid w:val="005176AE"/>
    <w:rsid w:val="00517819"/>
    <w:rsid w:val="005220AD"/>
    <w:rsid w:val="00525773"/>
    <w:rsid w:val="005264D0"/>
    <w:rsid w:val="005274EF"/>
    <w:rsid w:val="00527561"/>
    <w:rsid w:val="005278C8"/>
    <w:rsid w:val="00530C13"/>
    <w:rsid w:val="00532169"/>
    <w:rsid w:val="00532F40"/>
    <w:rsid w:val="005361BD"/>
    <w:rsid w:val="0054050E"/>
    <w:rsid w:val="0054067C"/>
    <w:rsid w:val="0054234F"/>
    <w:rsid w:val="005425DF"/>
    <w:rsid w:val="005456F1"/>
    <w:rsid w:val="00546B94"/>
    <w:rsid w:val="0054712A"/>
    <w:rsid w:val="00551F85"/>
    <w:rsid w:val="00552222"/>
    <w:rsid w:val="005526BB"/>
    <w:rsid w:val="00553A14"/>
    <w:rsid w:val="00554A25"/>
    <w:rsid w:val="00554D98"/>
    <w:rsid w:val="00556897"/>
    <w:rsid w:val="00557A43"/>
    <w:rsid w:val="0056219F"/>
    <w:rsid w:val="0056517D"/>
    <w:rsid w:val="00566295"/>
    <w:rsid w:val="00570256"/>
    <w:rsid w:val="005702CA"/>
    <w:rsid w:val="005723BD"/>
    <w:rsid w:val="00572C56"/>
    <w:rsid w:val="0057765C"/>
    <w:rsid w:val="0058108E"/>
    <w:rsid w:val="00583ED5"/>
    <w:rsid w:val="00585FC0"/>
    <w:rsid w:val="00587F07"/>
    <w:rsid w:val="0059000D"/>
    <w:rsid w:val="00590AD3"/>
    <w:rsid w:val="005915ED"/>
    <w:rsid w:val="00591A30"/>
    <w:rsid w:val="0059245B"/>
    <w:rsid w:val="00593428"/>
    <w:rsid w:val="0059470E"/>
    <w:rsid w:val="005948A6"/>
    <w:rsid w:val="00594C13"/>
    <w:rsid w:val="00595A7B"/>
    <w:rsid w:val="00597993"/>
    <w:rsid w:val="005A04FF"/>
    <w:rsid w:val="005A0799"/>
    <w:rsid w:val="005A0CA5"/>
    <w:rsid w:val="005A0E7D"/>
    <w:rsid w:val="005A3F4C"/>
    <w:rsid w:val="005A44E3"/>
    <w:rsid w:val="005A579D"/>
    <w:rsid w:val="005A6D68"/>
    <w:rsid w:val="005A7237"/>
    <w:rsid w:val="005A72BC"/>
    <w:rsid w:val="005B08AA"/>
    <w:rsid w:val="005B0BCE"/>
    <w:rsid w:val="005B1CCC"/>
    <w:rsid w:val="005B287E"/>
    <w:rsid w:val="005B54A5"/>
    <w:rsid w:val="005B5A4A"/>
    <w:rsid w:val="005B630A"/>
    <w:rsid w:val="005C329E"/>
    <w:rsid w:val="005C364F"/>
    <w:rsid w:val="005C6332"/>
    <w:rsid w:val="005C70DA"/>
    <w:rsid w:val="005C70F8"/>
    <w:rsid w:val="005C77BE"/>
    <w:rsid w:val="005D0840"/>
    <w:rsid w:val="005D0990"/>
    <w:rsid w:val="005D0F4F"/>
    <w:rsid w:val="005D255F"/>
    <w:rsid w:val="005D3E46"/>
    <w:rsid w:val="005D412E"/>
    <w:rsid w:val="005D4293"/>
    <w:rsid w:val="005D5721"/>
    <w:rsid w:val="005D6F46"/>
    <w:rsid w:val="005E0487"/>
    <w:rsid w:val="005E0D47"/>
    <w:rsid w:val="005E0E07"/>
    <w:rsid w:val="005E13AC"/>
    <w:rsid w:val="005E141F"/>
    <w:rsid w:val="005E1C06"/>
    <w:rsid w:val="005E4356"/>
    <w:rsid w:val="005E4D44"/>
    <w:rsid w:val="005E4FA1"/>
    <w:rsid w:val="005E629B"/>
    <w:rsid w:val="005F06E2"/>
    <w:rsid w:val="005F0A87"/>
    <w:rsid w:val="005F11B1"/>
    <w:rsid w:val="005F1580"/>
    <w:rsid w:val="005F2462"/>
    <w:rsid w:val="005F2F28"/>
    <w:rsid w:val="005F3952"/>
    <w:rsid w:val="005F47F3"/>
    <w:rsid w:val="005F635C"/>
    <w:rsid w:val="005F7CD4"/>
    <w:rsid w:val="00600401"/>
    <w:rsid w:val="00601D25"/>
    <w:rsid w:val="00602747"/>
    <w:rsid w:val="00604573"/>
    <w:rsid w:val="00604B40"/>
    <w:rsid w:val="00605604"/>
    <w:rsid w:val="00610B52"/>
    <w:rsid w:val="00611FF2"/>
    <w:rsid w:val="006132E6"/>
    <w:rsid w:val="0061515B"/>
    <w:rsid w:val="00620CA0"/>
    <w:rsid w:val="006215B4"/>
    <w:rsid w:val="00621C7A"/>
    <w:rsid w:val="00622232"/>
    <w:rsid w:val="00622B2F"/>
    <w:rsid w:val="00624D32"/>
    <w:rsid w:val="00624ED0"/>
    <w:rsid w:val="00625903"/>
    <w:rsid w:val="00625FA5"/>
    <w:rsid w:val="006267F9"/>
    <w:rsid w:val="00626DA0"/>
    <w:rsid w:val="00630BC3"/>
    <w:rsid w:val="0063443C"/>
    <w:rsid w:val="006378C3"/>
    <w:rsid w:val="0064121B"/>
    <w:rsid w:val="00641852"/>
    <w:rsid w:val="00641CAE"/>
    <w:rsid w:val="006421EB"/>
    <w:rsid w:val="006421FE"/>
    <w:rsid w:val="0064277D"/>
    <w:rsid w:val="00642FB6"/>
    <w:rsid w:val="00643E1E"/>
    <w:rsid w:val="00645E9D"/>
    <w:rsid w:val="00645F60"/>
    <w:rsid w:val="00646050"/>
    <w:rsid w:val="00646FD4"/>
    <w:rsid w:val="00647355"/>
    <w:rsid w:val="006478A7"/>
    <w:rsid w:val="00650257"/>
    <w:rsid w:val="00650460"/>
    <w:rsid w:val="00651142"/>
    <w:rsid w:val="0065231A"/>
    <w:rsid w:val="006553A9"/>
    <w:rsid w:val="00655701"/>
    <w:rsid w:val="00655757"/>
    <w:rsid w:val="00656AA0"/>
    <w:rsid w:val="00657034"/>
    <w:rsid w:val="00657CDB"/>
    <w:rsid w:val="0066247E"/>
    <w:rsid w:val="006630AB"/>
    <w:rsid w:val="006633DF"/>
    <w:rsid w:val="006647CB"/>
    <w:rsid w:val="0066493B"/>
    <w:rsid w:val="00665C7C"/>
    <w:rsid w:val="00667FC2"/>
    <w:rsid w:val="0067023F"/>
    <w:rsid w:val="00670508"/>
    <w:rsid w:val="006728FA"/>
    <w:rsid w:val="00673997"/>
    <w:rsid w:val="00676497"/>
    <w:rsid w:val="006811C4"/>
    <w:rsid w:val="00681788"/>
    <w:rsid w:val="00682CFF"/>
    <w:rsid w:val="006833F8"/>
    <w:rsid w:val="00683473"/>
    <w:rsid w:val="00683FD2"/>
    <w:rsid w:val="006855A1"/>
    <w:rsid w:val="00687A2B"/>
    <w:rsid w:val="0069123E"/>
    <w:rsid w:val="0069301A"/>
    <w:rsid w:val="006933D4"/>
    <w:rsid w:val="00695116"/>
    <w:rsid w:val="00696ED9"/>
    <w:rsid w:val="0069737E"/>
    <w:rsid w:val="006974B7"/>
    <w:rsid w:val="006A163E"/>
    <w:rsid w:val="006A1ECE"/>
    <w:rsid w:val="006A27D4"/>
    <w:rsid w:val="006A29FA"/>
    <w:rsid w:val="006A392A"/>
    <w:rsid w:val="006A556E"/>
    <w:rsid w:val="006A6ED6"/>
    <w:rsid w:val="006A7063"/>
    <w:rsid w:val="006A72A9"/>
    <w:rsid w:val="006B066F"/>
    <w:rsid w:val="006B0BDC"/>
    <w:rsid w:val="006B0E24"/>
    <w:rsid w:val="006B3289"/>
    <w:rsid w:val="006B32F4"/>
    <w:rsid w:val="006B3956"/>
    <w:rsid w:val="006B56ED"/>
    <w:rsid w:val="006B5BD7"/>
    <w:rsid w:val="006B6780"/>
    <w:rsid w:val="006B6EC1"/>
    <w:rsid w:val="006C1D70"/>
    <w:rsid w:val="006C25B4"/>
    <w:rsid w:val="006C3BE5"/>
    <w:rsid w:val="006C3E99"/>
    <w:rsid w:val="006C605D"/>
    <w:rsid w:val="006C60FF"/>
    <w:rsid w:val="006C6A6F"/>
    <w:rsid w:val="006D0FDD"/>
    <w:rsid w:val="006D6266"/>
    <w:rsid w:val="006D6DC7"/>
    <w:rsid w:val="006E0250"/>
    <w:rsid w:val="006E0496"/>
    <w:rsid w:val="006E04F1"/>
    <w:rsid w:val="006E236A"/>
    <w:rsid w:val="006E274B"/>
    <w:rsid w:val="006E4F0F"/>
    <w:rsid w:val="006E66FA"/>
    <w:rsid w:val="006E7544"/>
    <w:rsid w:val="006E75E1"/>
    <w:rsid w:val="006E797B"/>
    <w:rsid w:val="006F021C"/>
    <w:rsid w:val="006F134A"/>
    <w:rsid w:val="006F15E7"/>
    <w:rsid w:val="006F1B98"/>
    <w:rsid w:val="006F1DB0"/>
    <w:rsid w:val="006F25CE"/>
    <w:rsid w:val="006F2D2F"/>
    <w:rsid w:val="006F6A10"/>
    <w:rsid w:val="00700070"/>
    <w:rsid w:val="007000B8"/>
    <w:rsid w:val="00700437"/>
    <w:rsid w:val="007016D2"/>
    <w:rsid w:val="00701811"/>
    <w:rsid w:val="0070240D"/>
    <w:rsid w:val="007041D9"/>
    <w:rsid w:val="00704671"/>
    <w:rsid w:val="00705645"/>
    <w:rsid w:val="00705AD9"/>
    <w:rsid w:val="00706C9A"/>
    <w:rsid w:val="007070DA"/>
    <w:rsid w:val="007103E5"/>
    <w:rsid w:val="0071051D"/>
    <w:rsid w:val="0071079A"/>
    <w:rsid w:val="0071173A"/>
    <w:rsid w:val="00712181"/>
    <w:rsid w:val="0071435D"/>
    <w:rsid w:val="00717AF6"/>
    <w:rsid w:val="00720002"/>
    <w:rsid w:val="00721BD5"/>
    <w:rsid w:val="00721C3F"/>
    <w:rsid w:val="007229F0"/>
    <w:rsid w:val="00723ADD"/>
    <w:rsid w:val="00724075"/>
    <w:rsid w:val="00724A2C"/>
    <w:rsid w:val="00727ECC"/>
    <w:rsid w:val="007304A4"/>
    <w:rsid w:val="0073060C"/>
    <w:rsid w:val="007312E8"/>
    <w:rsid w:val="00731EBB"/>
    <w:rsid w:val="00732713"/>
    <w:rsid w:val="007337C7"/>
    <w:rsid w:val="00735AF2"/>
    <w:rsid w:val="00735C6C"/>
    <w:rsid w:val="007363F8"/>
    <w:rsid w:val="00740C63"/>
    <w:rsid w:val="00740D88"/>
    <w:rsid w:val="0074159C"/>
    <w:rsid w:val="00742F46"/>
    <w:rsid w:val="00743975"/>
    <w:rsid w:val="00743EE5"/>
    <w:rsid w:val="0074695C"/>
    <w:rsid w:val="00750BD5"/>
    <w:rsid w:val="00751703"/>
    <w:rsid w:val="00752664"/>
    <w:rsid w:val="00753476"/>
    <w:rsid w:val="00753DDB"/>
    <w:rsid w:val="007546B6"/>
    <w:rsid w:val="00756D47"/>
    <w:rsid w:val="0075797E"/>
    <w:rsid w:val="00760E23"/>
    <w:rsid w:val="00763FE8"/>
    <w:rsid w:val="007658E5"/>
    <w:rsid w:val="00772698"/>
    <w:rsid w:val="00772A3B"/>
    <w:rsid w:val="00773FD1"/>
    <w:rsid w:val="00774C34"/>
    <w:rsid w:val="00774FFC"/>
    <w:rsid w:val="00775125"/>
    <w:rsid w:val="0077573C"/>
    <w:rsid w:val="00776234"/>
    <w:rsid w:val="007779B9"/>
    <w:rsid w:val="00777D0C"/>
    <w:rsid w:val="007811DA"/>
    <w:rsid w:val="0078168F"/>
    <w:rsid w:val="00784022"/>
    <w:rsid w:val="007849BE"/>
    <w:rsid w:val="00786AF1"/>
    <w:rsid w:val="00787F7B"/>
    <w:rsid w:val="00787F91"/>
    <w:rsid w:val="0079138D"/>
    <w:rsid w:val="00791B71"/>
    <w:rsid w:val="007927BB"/>
    <w:rsid w:val="0079495E"/>
    <w:rsid w:val="0079592F"/>
    <w:rsid w:val="00795961"/>
    <w:rsid w:val="00795FEF"/>
    <w:rsid w:val="007970F5"/>
    <w:rsid w:val="007A3426"/>
    <w:rsid w:val="007A4CE0"/>
    <w:rsid w:val="007A4F84"/>
    <w:rsid w:val="007A611E"/>
    <w:rsid w:val="007A6516"/>
    <w:rsid w:val="007B5AE1"/>
    <w:rsid w:val="007B62E6"/>
    <w:rsid w:val="007B6D01"/>
    <w:rsid w:val="007B6F63"/>
    <w:rsid w:val="007B7AB2"/>
    <w:rsid w:val="007C47F0"/>
    <w:rsid w:val="007C690C"/>
    <w:rsid w:val="007C6BE1"/>
    <w:rsid w:val="007C794D"/>
    <w:rsid w:val="007D1B42"/>
    <w:rsid w:val="007D206F"/>
    <w:rsid w:val="007D211D"/>
    <w:rsid w:val="007D2CF4"/>
    <w:rsid w:val="007D37CA"/>
    <w:rsid w:val="007D5168"/>
    <w:rsid w:val="007D5B74"/>
    <w:rsid w:val="007D69C9"/>
    <w:rsid w:val="007D7E22"/>
    <w:rsid w:val="007E0526"/>
    <w:rsid w:val="007E282F"/>
    <w:rsid w:val="007E2C57"/>
    <w:rsid w:val="007E3259"/>
    <w:rsid w:val="007E3A27"/>
    <w:rsid w:val="007E5623"/>
    <w:rsid w:val="007E619B"/>
    <w:rsid w:val="007E62AA"/>
    <w:rsid w:val="007E6A12"/>
    <w:rsid w:val="007E6DC9"/>
    <w:rsid w:val="007E701C"/>
    <w:rsid w:val="007E7A06"/>
    <w:rsid w:val="007F0073"/>
    <w:rsid w:val="007F0D76"/>
    <w:rsid w:val="007F193C"/>
    <w:rsid w:val="007F5410"/>
    <w:rsid w:val="007F678A"/>
    <w:rsid w:val="007F7DAA"/>
    <w:rsid w:val="0080190D"/>
    <w:rsid w:val="0080287A"/>
    <w:rsid w:val="00802A90"/>
    <w:rsid w:val="00804B0E"/>
    <w:rsid w:val="00806D2D"/>
    <w:rsid w:val="00807444"/>
    <w:rsid w:val="0080789A"/>
    <w:rsid w:val="00810D0F"/>
    <w:rsid w:val="00812F38"/>
    <w:rsid w:val="00814871"/>
    <w:rsid w:val="00814DC3"/>
    <w:rsid w:val="008158CD"/>
    <w:rsid w:val="00815984"/>
    <w:rsid w:val="00817943"/>
    <w:rsid w:val="008202BB"/>
    <w:rsid w:val="00820F58"/>
    <w:rsid w:val="00821624"/>
    <w:rsid w:val="0082276C"/>
    <w:rsid w:val="00824EB9"/>
    <w:rsid w:val="00826134"/>
    <w:rsid w:val="008270EE"/>
    <w:rsid w:val="00827246"/>
    <w:rsid w:val="00833ECF"/>
    <w:rsid w:val="00833FE1"/>
    <w:rsid w:val="00834BDD"/>
    <w:rsid w:val="00835BAF"/>
    <w:rsid w:val="008367C2"/>
    <w:rsid w:val="00837AC4"/>
    <w:rsid w:val="00841414"/>
    <w:rsid w:val="008414B1"/>
    <w:rsid w:val="00841E66"/>
    <w:rsid w:val="00843627"/>
    <w:rsid w:val="0084412B"/>
    <w:rsid w:val="008441D7"/>
    <w:rsid w:val="008445B1"/>
    <w:rsid w:val="00844DB2"/>
    <w:rsid w:val="008457F8"/>
    <w:rsid w:val="008467C0"/>
    <w:rsid w:val="00847CAC"/>
    <w:rsid w:val="00847E71"/>
    <w:rsid w:val="00850DDB"/>
    <w:rsid w:val="00851CF5"/>
    <w:rsid w:val="00852E5B"/>
    <w:rsid w:val="00854723"/>
    <w:rsid w:val="00855B52"/>
    <w:rsid w:val="008578B8"/>
    <w:rsid w:val="00857AF9"/>
    <w:rsid w:val="00857E91"/>
    <w:rsid w:val="008625ED"/>
    <w:rsid w:val="0086297D"/>
    <w:rsid w:val="00862E12"/>
    <w:rsid w:val="00863F04"/>
    <w:rsid w:val="0086741B"/>
    <w:rsid w:val="00871C25"/>
    <w:rsid w:val="00871FC0"/>
    <w:rsid w:val="00871FEE"/>
    <w:rsid w:val="008737A4"/>
    <w:rsid w:val="00874711"/>
    <w:rsid w:val="00877EBF"/>
    <w:rsid w:val="00877F21"/>
    <w:rsid w:val="008806EF"/>
    <w:rsid w:val="008822E7"/>
    <w:rsid w:val="0088284F"/>
    <w:rsid w:val="008831DF"/>
    <w:rsid w:val="00883384"/>
    <w:rsid w:val="00885502"/>
    <w:rsid w:val="008860CD"/>
    <w:rsid w:val="008871AB"/>
    <w:rsid w:val="00891133"/>
    <w:rsid w:val="00891993"/>
    <w:rsid w:val="00894007"/>
    <w:rsid w:val="00894161"/>
    <w:rsid w:val="00895566"/>
    <w:rsid w:val="0089559C"/>
    <w:rsid w:val="008970E9"/>
    <w:rsid w:val="008A11EB"/>
    <w:rsid w:val="008A182A"/>
    <w:rsid w:val="008A1EBE"/>
    <w:rsid w:val="008A215E"/>
    <w:rsid w:val="008A3CA2"/>
    <w:rsid w:val="008A3D0B"/>
    <w:rsid w:val="008A586B"/>
    <w:rsid w:val="008A6F72"/>
    <w:rsid w:val="008B1845"/>
    <w:rsid w:val="008B1D41"/>
    <w:rsid w:val="008B3073"/>
    <w:rsid w:val="008B5375"/>
    <w:rsid w:val="008C2C7B"/>
    <w:rsid w:val="008C46DB"/>
    <w:rsid w:val="008C6BBC"/>
    <w:rsid w:val="008C7CE9"/>
    <w:rsid w:val="008D3B45"/>
    <w:rsid w:val="008D4A30"/>
    <w:rsid w:val="008D6763"/>
    <w:rsid w:val="008D6F2D"/>
    <w:rsid w:val="008D7CEF"/>
    <w:rsid w:val="008E0252"/>
    <w:rsid w:val="008E1148"/>
    <w:rsid w:val="008E17CF"/>
    <w:rsid w:val="008E505B"/>
    <w:rsid w:val="008E7161"/>
    <w:rsid w:val="008E7923"/>
    <w:rsid w:val="008F0A68"/>
    <w:rsid w:val="008F151C"/>
    <w:rsid w:val="008F20DD"/>
    <w:rsid w:val="008F23C8"/>
    <w:rsid w:val="008F3B44"/>
    <w:rsid w:val="008F3FAF"/>
    <w:rsid w:val="008F59A1"/>
    <w:rsid w:val="008F62B8"/>
    <w:rsid w:val="008F724B"/>
    <w:rsid w:val="008F7D73"/>
    <w:rsid w:val="00901630"/>
    <w:rsid w:val="00901D58"/>
    <w:rsid w:val="0090549C"/>
    <w:rsid w:val="00905737"/>
    <w:rsid w:val="00905ACE"/>
    <w:rsid w:val="00906A58"/>
    <w:rsid w:val="00910677"/>
    <w:rsid w:val="009125BE"/>
    <w:rsid w:val="00912F31"/>
    <w:rsid w:val="009152BE"/>
    <w:rsid w:val="009153D4"/>
    <w:rsid w:val="00915940"/>
    <w:rsid w:val="009159AD"/>
    <w:rsid w:val="009168CB"/>
    <w:rsid w:val="009170B4"/>
    <w:rsid w:val="009205CD"/>
    <w:rsid w:val="00920BC1"/>
    <w:rsid w:val="0092164F"/>
    <w:rsid w:val="00922647"/>
    <w:rsid w:val="00923A6D"/>
    <w:rsid w:val="00923CCD"/>
    <w:rsid w:val="00924EB7"/>
    <w:rsid w:val="00924FF7"/>
    <w:rsid w:val="00926956"/>
    <w:rsid w:val="009310B7"/>
    <w:rsid w:val="00931E4E"/>
    <w:rsid w:val="009320AF"/>
    <w:rsid w:val="009332F2"/>
    <w:rsid w:val="00934B71"/>
    <w:rsid w:val="009404C9"/>
    <w:rsid w:val="009404E5"/>
    <w:rsid w:val="0094247A"/>
    <w:rsid w:val="00945B4D"/>
    <w:rsid w:val="00946DA4"/>
    <w:rsid w:val="00947CEB"/>
    <w:rsid w:val="0095010C"/>
    <w:rsid w:val="00950F4D"/>
    <w:rsid w:val="00951171"/>
    <w:rsid w:val="00951F2B"/>
    <w:rsid w:val="009537AD"/>
    <w:rsid w:val="00954231"/>
    <w:rsid w:val="009542F0"/>
    <w:rsid w:val="009568B4"/>
    <w:rsid w:val="009569B4"/>
    <w:rsid w:val="0095750B"/>
    <w:rsid w:val="00960F73"/>
    <w:rsid w:val="009610F9"/>
    <w:rsid w:val="009617C4"/>
    <w:rsid w:val="00962155"/>
    <w:rsid w:val="00964AAA"/>
    <w:rsid w:val="00965F5C"/>
    <w:rsid w:val="00966848"/>
    <w:rsid w:val="00966A8F"/>
    <w:rsid w:val="00967224"/>
    <w:rsid w:val="009711BC"/>
    <w:rsid w:val="009716FA"/>
    <w:rsid w:val="00972011"/>
    <w:rsid w:val="009725CB"/>
    <w:rsid w:val="00974AE6"/>
    <w:rsid w:val="00975789"/>
    <w:rsid w:val="00977230"/>
    <w:rsid w:val="00977A79"/>
    <w:rsid w:val="00981466"/>
    <w:rsid w:val="009820B2"/>
    <w:rsid w:val="00982B92"/>
    <w:rsid w:val="00983177"/>
    <w:rsid w:val="00985673"/>
    <w:rsid w:val="00985FC7"/>
    <w:rsid w:val="00986366"/>
    <w:rsid w:val="00986388"/>
    <w:rsid w:val="00987861"/>
    <w:rsid w:val="00990DF2"/>
    <w:rsid w:val="0099152F"/>
    <w:rsid w:val="00993107"/>
    <w:rsid w:val="00993AFA"/>
    <w:rsid w:val="00993D0D"/>
    <w:rsid w:val="00994428"/>
    <w:rsid w:val="00996353"/>
    <w:rsid w:val="00996BA0"/>
    <w:rsid w:val="009A14FD"/>
    <w:rsid w:val="009A2F65"/>
    <w:rsid w:val="009A30A2"/>
    <w:rsid w:val="009A36C2"/>
    <w:rsid w:val="009A36DA"/>
    <w:rsid w:val="009A41FF"/>
    <w:rsid w:val="009A48D8"/>
    <w:rsid w:val="009A4D71"/>
    <w:rsid w:val="009A4E43"/>
    <w:rsid w:val="009A5759"/>
    <w:rsid w:val="009A6456"/>
    <w:rsid w:val="009A723F"/>
    <w:rsid w:val="009A785C"/>
    <w:rsid w:val="009A7D9B"/>
    <w:rsid w:val="009B02BE"/>
    <w:rsid w:val="009B09AB"/>
    <w:rsid w:val="009B130C"/>
    <w:rsid w:val="009B3C94"/>
    <w:rsid w:val="009B7640"/>
    <w:rsid w:val="009B7C7C"/>
    <w:rsid w:val="009C0636"/>
    <w:rsid w:val="009C1128"/>
    <w:rsid w:val="009C346B"/>
    <w:rsid w:val="009C3D03"/>
    <w:rsid w:val="009C4FF9"/>
    <w:rsid w:val="009C5D11"/>
    <w:rsid w:val="009D02E1"/>
    <w:rsid w:val="009D02E5"/>
    <w:rsid w:val="009D071D"/>
    <w:rsid w:val="009D0A63"/>
    <w:rsid w:val="009D114A"/>
    <w:rsid w:val="009D11BF"/>
    <w:rsid w:val="009D3BED"/>
    <w:rsid w:val="009D4D0D"/>
    <w:rsid w:val="009D5961"/>
    <w:rsid w:val="009D5A09"/>
    <w:rsid w:val="009D5A1D"/>
    <w:rsid w:val="009D65F0"/>
    <w:rsid w:val="009D706A"/>
    <w:rsid w:val="009E05BD"/>
    <w:rsid w:val="009E0691"/>
    <w:rsid w:val="009E2026"/>
    <w:rsid w:val="009E47C6"/>
    <w:rsid w:val="009E4C79"/>
    <w:rsid w:val="009E536B"/>
    <w:rsid w:val="009E7C29"/>
    <w:rsid w:val="009F0372"/>
    <w:rsid w:val="009F3A30"/>
    <w:rsid w:val="009F4B85"/>
    <w:rsid w:val="009F6CA8"/>
    <w:rsid w:val="00A002B7"/>
    <w:rsid w:val="00A01039"/>
    <w:rsid w:val="00A03488"/>
    <w:rsid w:val="00A0450D"/>
    <w:rsid w:val="00A058E1"/>
    <w:rsid w:val="00A06B7E"/>
    <w:rsid w:val="00A0730D"/>
    <w:rsid w:val="00A076DF"/>
    <w:rsid w:val="00A0778F"/>
    <w:rsid w:val="00A1085F"/>
    <w:rsid w:val="00A11827"/>
    <w:rsid w:val="00A121DC"/>
    <w:rsid w:val="00A13B11"/>
    <w:rsid w:val="00A14370"/>
    <w:rsid w:val="00A149BF"/>
    <w:rsid w:val="00A15DDC"/>
    <w:rsid w:val="00A16A9D"/>
    <w:rsid w:val="00A1707A"/>
    <w:rsid w:val="00A20889"/>
    <w:rsid w:val="00A22731"/>
    <w:rsid w:val="00A2490F"/>
    <w:rsid w:val="00A24DA3"/>
    <w:rsid w:val="00A26E54"/>
    <w:rsid w:val="00A30069"/>
    <w:rsid w:val="00A30450"/>
    <w:rsid w:val="00A311F9"/>
    <w:rsid w:val="00A320ED"/>
    <w:rsid w:val="00A34133"/>
    <w:rsid w:val="00A34CA1"/>
    <w:rsid w:val="00A37B13"/>
    <w:rsid w:val="00A4037C"/>
    <w:rsid w:val="00A40557"/>
    <w:rsid w:val="00A438B7"/>
    <w:rsid w:val="00A452EA"/>
    <w:rsid w:val="00A45E1F"/>
    <w:rsid w:val="00A50A3F"/>
    <w:rsid w:val="00A510E0"/>
    <w:rsid w:val="00A52E0B"/>
    <w:rsid w:val="00A55E15"/>
    <w:rsid w:val="00A564E4"/>
    <w:rsid w:val="00A6054B"/>
    <w:rsid w:val="00A62E1E"/>
    <w:rsid w:val="00A644B9"/>
    <w:rsid w:val="00A6562F"/>
    <w:rsid w:val="00A656A8"/>
    <w:rsid w:val="00A66605"/>
    <w:rsid w:val="00A702DA"/>
    <w:rsid w:val="00A703C6"/>
    <w:rsid w:val="00A710B5"/>
    <w:rsid w:val="00A71B44"/>
    <w:rsid w:val="00A727AF"/>
    <w:rsid w:val="00A72B9F"/>
    <w:rsid w:val="00A73F8D"/>
    <w:rsid w:val="00A7429F"/>
    <w:rsid w:val="00A74941"/>
    <w:rsid w:val="00A756BD"/>
    <w:rsid w:val="00A7674F"/>
    <w:rsid w:val="00A7698E"/>
    <w:rsid w:val="00A802DD"/>
    <w:rsid w:val="00A822D1"/>
    <w:rsid w:val="00A831B9"/>
    <w:rsid w:val="00A83472"/>
    <w:rsid w:val="00A835A0"/>
    <w:rsid w:val="00A8527C"/>
    <w:rsid w:val="00A8622B"/>
    <w:rsid w:val="00A871E4"/>
    <w:rsid w:val="00A9160F"/>
    <w:rsid w:val="00A917A1"/>
    <w:rsid w:val="00A91F86"/>
    <w:rsid w:val="00A92941"/>
    <w:rsid w:val="00A93AB9"/>
    <w:rsid w:val="00A951A0"/>
    <w:rsid w:val="00A959F0"/>
    <w:rsid w:val="00A95DB2"/>
    <w:rsid w:val="00A96194"/>
    <w:rsid w:val="00A96462"/>
    <w:rsid w:val="00AA574F"/>
    <w:rsid w:val="00AA60AD"/>
    <w:rsid w:val="00AA6CCC"/>
    <w:rsid w:val="00AB0046"/>
    <w:rsid w:val="00AB2B19"/>
    <w:rsid w:val="00AB3B85"/>
    <w:rsid w:val="00AB44C1"/>
    <w:rsid w:val="00AB4630"/>
    <w:rsid w:val="00AB5C23"/>
    <w:rsid w:val="00AB5D1B"/>
    <w:rsid w:val="00AB7BEE"/>
    <w:rsid w:val="00AB7C42"/>
    <w:rsid w:val="00AC138F"/>
    <w:rsid w:val="00AC1B8F"/>
    <w:rsid w:val="00AC1CED"/>
    <w:rsid w:val="00AC36BF"/>
    <w:rsid w:val="00AC48C9"/>
    <w:rsid w:val="00AC4906"/>
    <w:rsid w:val="00AC5320"/>
    <w:rsid w:val="00AC6806"/>
    <w:rsid w:val="00AC6E27"/>
    <w:rsid w:val="00AC76C2"/>
    <w:rsid w:val="00AC7957"/>
    <w:rsid w:val="00AC7B6A"/>
    <w:rsid w:val="00AC7BED"/>
    <w:rsid w:val="00AD1900"/>
    <w:rsid w:val="00AD54DB"/>
    <w:rsid w:val="00AD7F4F"/>
    <w:rsid w:val="00AE088B"/>
    <w:rsid w:val="00AE21B5"/>
    <w:rsid w:val="00AE39DE"/>
    <w:rsid w:val="00AE4481"/>
    <w:rsid w:val="00AE4583"/>
    <w:rsid w:val="00AE5941"/>
    <w:rsid w:val="00AE630D"/>
    <w:rsid w:val="00AE749F"/>
    <w:rsid w:val="00AE78B2"/>
    <w:rsid w:val="00AF10E6"/>
    <w:rsid w:val="00AF13B5"/>
    <w:rsid w:val="00AF641A"/>
    <w:rsid w:val="00AF6496"/>
    <w:rsid w:val="00AF7E08"/>
    <w:rsid w:val="00B00BF7"/>
    <w:rsid w:val="00B00E5C"/>
    <w:rsid w:val="00B014E9"/>
    <w:rsid w:val="00B0237D"/>
    <w:rsid w:val="00B0275C"/>
    <w:rsid w:val="00B03D82"/>
    <w:rsid w:val="00B03DEB"/>
    <w:rsid w:val="00B0405B"/>
    <w:rsid w:val="00B043FD"/>
    <w:rsid w:val="00B04D51"/>
    <w:rsid w:val="00B0550B"/>
    <w:rsid w:val="00B075EB"/>
    <w:rsid w:val="00B07E9A"/>
    <w:rsid w:val="00B13F35"/>
    <w:rsid w:val="00B153D1"/>
    <w:rsid w:val="00B15984"/>
    <w:rsid w:val="00B165B2"/>
    <w:rsid w:val="00B17091"/>
    <w:rsid w:val="00B20432"/>
    <w:rsid w:val="00B208ED"/>
    <w:rsid w:val="00B21DC9"/>
    <w:rsid w:val="00B230AD"/>
    <w:rsid w:val="00B24524"/>
    <w:rsid w:val="00B25826"/>
    <w:rsid w:val="00B25B58"/>
    <w:rsid w:val="00B25FB3"/>
    <w:rsid w:val="00B26642"/>
    <w:rsid w:val="00B317F8"/>
    <w:rsid w:val="00B3396D"/>
    <w:rsid w:val="00B33B46"/>
    <w:rsid w:val="00B34B42"/>
    <w:rsid w:val="00B3617E"/>
    <w:rsid w:val="00B366C2"/>
    <w:rsid w:val="00B36733"/>
    <w:rsid w:val="00B36AFE"/>
    <w:rsid w:val="00B40F71"/>
    <w:rsid w:val="00B4126D"/>
    <w:rsid w:val="00B4445F"/>
    <w:rsid w:val="00B470C5"/>
    <w:rsid w:val="00B47BB8"/>
    <w:rsid w:val="00B51468"/>
    <w:rsid w:val="00B53081"/>
    <w:rsid w:val="00B55B92"/>
    <w:rsid w:val="00B55D65"/>
    <w:rsid w:val="00B5604E"/>
    <w:rsid w:val="00B56627"/>
    <w:rsid w:val="00B60592"/>
    <w:rsid w:val="00B61FA3"/>
    <w:rsid w:val="00B62C04"/>
    <w:rsid w:val="00B63D11"/>
    <w:rsid w:val="00B641E4"/>
    <w:rsid w:val="00B6427A"/>
    <w:rsid w:val="00B64684"/>
    <w:rsid w:val="00B65F0E"/>
    <w:rsid w:val="00B66717"/>
    <w:rsid w:val="00B67428"/>
    <w:rsid w:val="00B718F4"/>
    <w:rsid w:val="00B72533"/>
    <w:rsid w:val="00B72E3D"/>
    <w:rsid w:val="00B74F71"/>
    <w:rsid w:val="00B7567E"/>
    <w:rsid w:val="00B75B6A"/>
    <w:rsid w:val="00B77B54"/>
    <w:rsid w:val="00B77CFD"/>
    <w:rsid w:val="00B80194"/>
    <w:rsid w:val="00B81022"/>
    <w:rsid w:val="00B814DC"/>
    <w:rsid w:val="00B81EE1"/>
    <w:rsid w:val="00B82594"/>
    <w:rsid w:val="00B84F6A"/>
    <w:rsid w:val="00B87801"/>
    <w:rsid w:val="00B93054"/>
    <w:rsid w:val="00B97BCC"/>
    <w:rsid w:val="00BA0A1D"/>
    <w:rsid w:val="00BA0BC6"/>
    <w:rsid w:val="00BA2C0A"/>
    <w:rsid w:val="00BA3E7B"/>
    <w:rsid w:val="00BA44A4"/>
    <w:rsid w:val="00BA4C4D"/>
    <w:rsid w:val="00BA615B"/>
    <w:rsid w:val="00BB0253"/>
    <w:rsid w:val="00BB02B9"/>
    <w:rsid w:val="00BB0457"/>
    <w:rsid w:val="00BB0D90"/>
    <w:rsid w:val="00BB3648"/>
    <w:rsid w:val="00BB38C8"/>
    <w:rsid w:val="00BB3D31"/>
    <w:rsid w:val="00BB5325"/>
    <w:rsid w:val="00BB5E9D"/>
    <w:rsid w:val="00BB602C"/>
    <w:rsid w:val="00BB7731"/>
    <w:rsid w:val="00BC00FA"/>
    <w:rsid w:val="00BC20C5"/>
    <w:rsid w:val="00BC3420"/>
    <w:rsid w:val="00BC501E"/>
    <w:rsid w:val="00BC59E9"/>
    <w:rsid w:val="00BC75B8"/>
    <w:rsid w:val="00BC7A6C"/>
    <w:rsid w:val="00BC7DCB"/>
    <w:rsid w:val="00BD0FD2"/>
    <w:rsid w:val="00BD2311"/>
    <w:rsid w:val="00BD2386"/>
    <w:rsid w:val="00BD257B"/>
    <w:rsid w:val="00BD34DB"/>
    <w:rsid w:val="00BD357A"/>
    <w:rsid w:val="00BD3E3B"/>
    <w:rsid w:val="00BD5BED"/>
    <w:rsid w:val="00BE029A"/>
    <w:rsid w:val="00BE0790"/>
    <w:rsid w:val="00BE2816"/>
    <w:rsid w:val="00BE33C9"/>
    <w:rsid w:val="00BE4261"/>
    <w:rsid w:val="00BE5D97"/>
    <w:rsid w:val="00BE61A3"/>
    <w:rsid w:val="00BE6733"/>
    <w:rsid w:val="00BF2423"/>
    <w:rsid w:val="00BF765A"/>
    <w:rsid w:val="00BF78A0"/>
    <w:rsid w:val="00C02311"/>
    <w:rsid w:val="00C027E4"/>
    <w:rsid w:val="00C04D30"/>
    <w:rsid w:val="00C04F4C"/>
    <w:rsid w:val="00C05C3F"/>
    <w:rsid w:val="00C12906"/>
    <w:rsid w:val="00C12E77"/>
    <w:rsid w:val="00C13F28"/>
    <w:rsid w:val="00C14EEF"/>
    <w:rsid w:val="00C15DAD"/>
    <w:rsid w:val="00C15FA3"/>
    <w:rsid w:val="00C20287"/>
    <w:rsid w:val="00C2305F"/>
    <w:rsid w:val="00C24078"/>
    <w:rsid w:val="00C241DC"/>
    <w:rsid w:val="00C30AA2"/>
    <w:rsid w:val="00C312C4"/>
    <w:rsid w:val="00C363E7"/>
    <w:rsid w:val="00C3648F"/>
    <w:rsid w:val="00C36D61"/>
    <w:rsid w:val="00C40479"/>
    <w:rsid w:val="00C42692"/>
    <w:rsid w:val="00C43F27"/>
    <w:rsid w:val="00C44C39"/>
    <w:rsid w:val="00C45509"/>
    <w:rsid w:val="00C45A96"/>
    <w:rsid w:val="00C46F99"/>
    <w:rsid w:val="00C47F51"/>
    <w:rsid w:val="00C51079"/>
    <w:rsid w:val="00C512BF"/>
    <w:rsid w:val="00C516C7"/>
    <w:rsid w:val="00C51876"/>
    <w:rsid w:val="00C52B94"/>
    <w:rsid w:val="00C54544"/>
    <w:rsid w:val="00C546E5"/>
    <w:rsid w:val="00C552D6"/>
    <w:rsid w:val="00C56A5A"/>
    <w:rsid w:val="00C57982"/>
    <w:rsid w:val="00C57B98"/>
    <w:rsid w:val="00C60235"/>
    <w:rsid w:val="00C61562"/>
    <w:rsid w:val="00C628F2"/>
    <w:rsid w:val="00C654C3"/>
    <w:rsid w:val="00C65FBB"/>
    <w:rsid w:val="00C6606E"/>
    <w:rsid w:val="00C662B3"/>
    <w:rsid w:val="00C662F2"/>
    <w:rsid w:val="00C6784F"/>
    <w:rsid w:val="00C72862"/>
    <w:rsid w:val="00C742D6"/>
    <w:rsid w:val="00C80AF5"/>
    <w:rsid w:val="00C812F0"/>
    <w:rsid w:val="00C81555"/>
    <w:rsid w:val="00C818BF"/>
    <w:rsid w:val="00C81B27"/>
    <w:rsid w:val="00C90563"/>
    <w:rsid w:val="00C91E8A"/>
    <w:rsid w:val="00C929AA"/>
    <w:rsid w:val="00C96063"/>
    <w:rsid w:val="00CA0EC2"/>
    <w:rsid w:val="00CA27CB"/>
    <w:rsid w:val="00CA2BE9"/>
    <w:rsid w:val="00CA47F0"/>
    <w:rsid w:val="00CA4A43"/>
    <w:rsid w:val="00CA62D1"/>
    <w:rsid w:val="00CA7298"/>
    <w:rsid w:val="00CA765A"/>
    <w:rsid w:val="00CB2162"/>
    <w:rsid w:val="00CB3635"/>
    <w:rsid w:val="00CB400D"/>
    <w:rsid w:val="00CB411B"/>
    <w:rsid w:val="00CB454F"/>
    <w:rsid w:val="00CB4DB0"/>
    <w:rsid w:val="00CB5979"/>
    <w:rsid w:val="00CC1C5C"/>
    <w:rsid w:val="00CC1FEB"/>
    <w:rsid w:val="00CC23E3"/>
    <w:rsid w:val="00CC257B"/>
    <w:rsid w:val="00CC5E20"/>
    <w:rsid w:val="00CC6B70"/>
    <w:rsid w:val="00CC7B4A"/>
    <w:rsid w:val="00CD2285"/>
    <w:rsid w:val="00CD25EF"/>
    <w:rsid w:val="00CD3169"/>
    <w:rsid w:val="00CD4166"/>
    <w:rsid w:val="00CD4B83"/>
    <w:rsid w:val="00CD574E"/>
    <w:rsid w:val="00CD5E10"/>
    <w:rsid w:val="00CD663B"/>
    <w:rsid w:val="00CD7231"/>
    <w:rsid w:val="00CD784B"/>
    <w:rsid w:val="00CD7E86"/>
    <w:rsid w:val="00CE038A"/>
    <w:rsid w:val="00CE053E"/>
    <w:rsid w:val="00CE237F"/>
    <w:rsid w:val="00CE2A32"/>
    <w:rsid w:val="00CE2C97"/>
    <w:rsid w:val="00CE4B5C"/>
    <w:rsid w:val="00CE4C90"/>
    <w:rsid w:val="00CE75DB"/>
    <w:rsid w:val="00CF0ED5"/>
    <w:rsid w:val="00CF183B"/>
    <w:rsid w:val="00CF2FDC"/>
    <w:rsid w:val="00CF3A38"/>
    <w:rsid w:val="00CF3EB9"/>
    <w:rsid w:val="00CF603C"/>
    <w:rsid w:val="00D00E17"/>
    <w:rsid w:val="00D00EDB"/>
    <w:rsid w:val="00D012FA"/>
    <w:rsid w:val="00D01BAD"/>
    <w:rsid w:val="00D02365"/>
    <w:rsid w:val="00D03458"/>
    <w:rsid w:val="00D03FD6"/>
    <w:rsid w:val="00D043FF"/>
    <w:rsid w:val="00D0481D"/>
    <w:rsid w:val="00D04A83"/>
    <w:rsid w:val="00D04E7B"/>
    <w:rsid w:val="00D04FB2"/>
    <w:rsid w:val="00D054A9"/>
    <w:rsid w:val="00D06542"/>
    <w:rsid w:val="00D10870"/>
    <w:rsid w:val="00D10AFB"/>
    <w:rsid w:val="00D10B14"/>
    <w:rsid w:val="00D10F16"/>
    <w:rsid w:val="00D13377"/>
    <w:rsid w:val="00D1367C"/>
    <w:rsid w:val="00D14CAD"/>
    <w:rsid w:val="00D14D61"/>
    <w:rsid w:val="00D15BE6"/>
    <w:rsid w:val="00D17037"/>
    <w:rsid w:val="00D20283"/>
    <w:rsid w:val="00D20480"/>
    <w:rsid w:val="00D214F8"/>
    <w:rsid w:val="00D2380F"/>
    <w:rsid w:val="00D25F34"/>
    <w:rsid w:val="00D27A76"/>
    <w:rsid w:val="00D27E18"/>
    <w:rsid w:val="00D33742"/>
    <w:rsid w:val="00D33E64"/>
    <w:rsid w:val="00D34219"/>
    <w:rsid w:val="00D35E4E"/>
    <w:rsid w:val="00D3765A"/>
    <w:rsid w:val="00D430D9"/>
    <w:rsid w:val="00D43EB0"/>
    <w:rsid w:val="00D4424A"/>
    <w:rsid w:val="00D47049"/>
    <w:rsid w:val="00D47544"/>
    <w:rsid w:val="00D51250"/>
    <w:rsid w:val="00D575E0"/>
    <w:rsid w:val="00D60AB3"/>
    <w:rsid w:val="00D618DA"/>
    <w:rsid w:val="00D6258D"/>
    <w:rsid w:val="00D62681"/>
    <w:rsid w:val="00D632D0"/>
    <w:rsid w:val="00D64302"/>
    <w:rsid w:val="00D64652"/>
    <w:rsid w:val="00D64A68"/>
    <w:rsid w:val="00D64B74"/>
    <w:rsid w:val="00D64BC2"/>
    <w:rsid w:val="00D65688"/>
    <w:rsid w:val="00D6728E"/>
    <w:rsid w:val="00D70430"/>
    <w:rsid w:val="00D70AF8"/>
    <w:rsid w:val="00D70BDB"/>
    <w:rsid w:val="00D72145"/>
    <w:rsid w:val="00D72E41"/>
    <w:rsid w:val="00D73E4E"/>
    <w:rsid w:val="00D76782"/>
    <w:rsid w:val="00D8106E"/>
    <w:rsid w:val="00D819A3"/>
    <w:rsid w:val="00D83750"/>
    <w:rsid w:val="00D856E5"/>
    <w:rsid w:val="00D866CC"/>
    <w:rsid w:val="00D87186"/>
    <w:rsid w:val="00D87843"/>
    <w:rsid w:val="00D90997"/>
    <w:rsid w:val="00D90A04"/>
    <w:rsid w:val="00D90B3D"/>
    <w:rsid w:val="00D912BA"/>
    <w:rsid w:val="00D92F13"/>
    <w:rsid w:val="00D94D66"/>
    <w:rsid w:val="00D95128"/>
    <w:rsid w:val="00D96714"/>
    <w:rsid w:val="00D96806"/>
    <w:rsid w:val="00D96A4F"/>
    <w:rsid w:val="00D96DCC"/>
    <w:rsid w:val="00D96E03"/>
    <w:rsid w:val="00D9798F"/>
    <w:rsid w:val="00DA2403"/>
    <w:rsid w:val="00DA3AFF"/>
    <w:rsid w:val="00DA4B90"/>
    <w:rsid w:val="00DA5A1D"/>
    <w:rsid w:val="00DA5E01"/>
    <w:rsid w:val="00DA62F5"/>
    <w:rsid w:val="00DB0096"/>
    <w:rsid w:val="00DB03B2"/>
    <w:rsid w:val="00DB0F4F"/>
    <w:rsid w:val="00DB1C8A"/>
    <w:rsid w:val="00DB2837"/>
    <w:rsid w:val="00DB2938"/>
    <w:rsid w:val="00DB6E72"/>
    <w:rsid w:val="00DC1BE1"/>
    <w:rsid w:val="00DC1D9B"/>
    <w:rsid w:val="00DC4B4C"/>
    <w:rsid w:val="00DC4C84"/>
    <w:rsid w:val="00DC55A6"/>
    <w:rsid w:val="00DC6B46"/>
    <w:rsid w:val="00DC7187"/>
    <w:rsid w:val="00DC7D8B"/>
    <w:rsid w:val="00DD051B"/>
    <w:rsid w:val="00DD0887"/>
    <w:rsid w:val="00DD1CFA"/>
    <w:rsid w:val="00DD3CC0"/>
    <w:rsid w:val="00DD61E6"/>
    <w:rsid w:val="00DE1E4E"/>
    <w:rsid w:val="00DE2C76"/>
    <w:rsid w:val="00DE3357"/>
    <w:rsid w:val="00DE36EB"/>
    <w:rsid w:val="00DE3B21"/>
    <w:rsid w:val="00DE3D27"/>
    <w:rsid w:val="00DE42F5"/>
    <w:rsid w:val="00DE5EA6"/>
    <w:rsid w:val="00DE6986"/>
    <w:rsid w:val="00DF1475"/>
    <w:rsid w:val="00DF1488"/>
    <w:rsid w:val="00DF2B50"/>
    <w:rsid w:val="00DF359C"/>
    <w:rsid w:val="00DF5E93"/>
    <w:rsid w:val="00DF7CA9"/>
    <w:rsid w:val="00E02239"/>
    <w:rsid w:val="00E05102"/>
    <w:rsid w:val="00E055D0"/>
    <w:rsid w:val="00E06697"/>
    <w:rsid w:val="00E06EBF"/>
    <w:rsid w:val="00E1028C"/>
    <w:rsid w:val="00E11A0D"/>
    <w:rsid w:val="00E12AFE"/>
    <w:rsid w:val="00E15876"/>
    <w:rsid w:val="00E16C56"/>
    <w:rsid w:val="00E16EDD"/>
    <w:rsid w:val="00E20B39"/>
    <w:rsid w:val="00E20E4B"/>
    <w:rsid w:val="00E2119E"/>
    <w:rsid w:val="00E243F6"/>
    <w:rsid w:val="00E25542"/>
    <w:rsid w:val="00E3020A"/>
    <w:rsid w:val="00E30F13"/>
    <w:rsid w:val="00E33A94"/>
    <w:rsid w:val="00E33C4D"/>
    <w:rsid w:val="00E35B07"/>
    <w:rsid w:val="00E37378"/>
    <w:rsid w:val="00E37E3B"/>
    <w:rsid w:val="00E37FB0"/>
    <w:rsid w:val="00E41500"/>
    <w:rsid w:val="00E4163D"/>
    <w:rsid w:val="00E46779"/>
    <w:rsid w:val="00E46860"/>
    <w:rsid w:val="00E46CE5"/>
    <w:rsid w:val="00E510BF"/>
    <w:rsid w:val="00E5185B"/>
    <w:rsid w:val="00E52271"/>
    <w:rsid w:val="00E52D10"/>
    <w:rsid w:val="00E53516"/>
    <w:rsid w:val="00E5380E"/>
    <w:rsid w:val="00E5455E"/>
    <w:rsid w:val="00E55A90"/>
    <w:rsid w:val="00E56F46"/>
    <w:rsid w:val="00E62955"/>
    <w:rsid w:val="00E62A36"/>
    <w:rsid w:val="00E63C94"/>
    <w:rsid w:val="00E64ACA"/>
    <w:rsid w:val="00E64B27"/>
    <w:rsid w:val="00E6689F"/>
    <w:rsid w:val="00E700A3"/>
    <w:rsid w:val="00E71971"/>
    <w:rsid w:val="00E7267A"/>
    <w:rsid w:val="00E7397E"/>
    <w:rsid w:val="00E770DE"/>
    <w:rsid w:val="00E81205"/>
    <w:rsid w:val="00E82C93"/>
    <w:rsid w:val="00E82F5D"/>
    <w:rsid w:val="00E83B08"/>
    <w:rsid w:val="00E845D1"/>
    <w:rsid w:val="00E84688"/>
    <w:rsid w:val="00E84F69"/>
    <w:rsid w:val="00E86469"/>
    <w:rsid w:val="00E910E4"/>
    <w:rsid w:val="00E923B0"/>
    <w:rsid w:val="00E924FC"/>
    <w:rsid w:val="00E93E9F"/>
    <w:rsid w:val="00E95222"/>
    <w:rsid w:val="00E95C1C"/>
    <w:rsid w:val="00E95C2D"/>
    <w:rsid w:val="00E95DAF"/>
    <w:rsid w:val="00E95E68"/>
    <w:rsid w:val="00EA30D4"/>
    <w:rsid w:val="00EA3D9C"/>
    <w:rsid w:val="00EA498D"/>
    <w:rsid w:val="00EA4C2C"/>
    <w:rsid w:val="00EA5830"/>
    <w:rsid w:val="00EA7289"/>
    <w:rsid w:val="00EA78CC"/>
    <w:rsid w:val="00EB07A1"/>
    <w:rsid w:val="00EB1844"/>
    <w:rsid w:val="00EB4A12"/>
    <w:rsid w:val="00EB5360"/>
    <w:rsid w:val="00EB69AA"/>
    <w:rsid w:val="00EC0B7A"/>
    <w:rsid w:val="00EC217C"/>
    <w:rsid w:val="00EC24A4"/>
    <w:rsid w:val="00EC3DE4"/>
    <w:rsid w:val="00EC4748"/>
    <w:rsid w:val="00EC5074"/>
    <w:rsid w:val="00EC7E42"/>
    <w:rsid w:val="00ED0FBE"/>
    <w:rsid w:val="00ED1217"/>
    <w:rsid w:val="00ED132D"/>
    <w:rsid w:val="00ED17F3"/>
    <w:rsid w:val="00ED1BD6"/>
    <w:rsid w:val="00ED2975"/>
    <w:rsid w:val="00ED3ACC"/>
    <w:rsid w:val="00ED3B3D"/>
    <w:rsid w:val="00ED7D50"/>
    <w:rsid w:val="00EE1327"/>
    <w:rsid w:val="00EE198F"/>
    <w:rsid w:val="00EE31B1"/>
    <w:rsid w:val="00EE3BD5"/>
    <w:rsid w:val="00EE6DFF"/>
    <w:rsid w:val="00EE7D19"/>
    <w:rsid w:val="00EF0404"/>
    <w:rsid w:val="00EF2F9F"/>
    <w:rsid w:val="00EF4F99"/>
    <w:rsid w:val="00EF52E5"/>
    <w:rsid w:val="00EF551D"/>
    <w:rsid w:val="00EF60AC"/>
    <w:rsid w:val="00F01595"/>
    <w:rsid w:val="00F01854"/>
    <w:rsid w:val="00F02263"/>
    <w:rsid w:val="00F034C4"/>
    <w:rsid w:val="00F052F5"/>
    <w:rsid w:val="00F056FD"/>
    <w:rsid w:val="00F05C86"/>
    <w:rsid w:val="00F109CA"/>
    <w:rsid w:val="00F115B8"/>
    <w:rsid w:val="00F1335E"/>
    <w:rsid w:val="00F13ED5"/>
    <w:rsid w:val="00F13FD6"/>
    <w:rsid w:val="00F14C42"/>
    <w:rsid w:val="00F17ED7"/>
    <w:rsid w:val="00F20892"/>
    <w:rsid w:val="00F210FB"/>
    <w:rsid w:val="00F23766"/>
    <w:rsid w:val="00F248EA"/>
    <w:rsid w:val="00F25197"/>
    <w:rsid w:val="00F262A7"/>
    <w:rsid w:val="00F30262"/>
    <w:rsid w:val="00F30E14"/>
    <w:rsid w:val="00F32599"/>
    <w:rsid w:val="00F32F1A"/>
    <w:rsid w:val="00F33189"/>
    <w:rsid w:val="00F341C3"/>
    <w:rsid w:val="00F34D90"/>
    <w:rsid w:val="00F3535D"/>
    <w:rsid w:val="00F443E0"/>
    <w:rsid w:val="00F44475"/>
    <w:rsid w:val="00F4535C"/>
    <w:rsid w:val="00F4742E"/>
    <w:rsid w:val="00F478C7"/>
    <w:rsid w:val="00F47E2F"/>
    <w:rsid w:val="00F47E6F"/>
    <w:rsid w:val="00F50D42"/>
    <w:rsid w:val="00F517E6"/>
    <w:rsid w:val="00F52148"/>
    <w:rsid w:val="00F530F4"/>
    <w:rsid w:val="00F5320F"/>
    <w:rsid w:val="00F5347B"/>
    <w:rsid w:val="00F5358A"/>
    <w:rsid w:val="00F54A59"/>
    <w:rsid w:val="00F5627B"/>
    <w:rsid w:val="00F5774F"/>
    <w:rsid w:val="00F610FA"/>
    <w:rsid w:val="00F634B7"/>
    <w:rsid w:val="00F646A1"/>
    <w:rsid w:val="00F65877"/>
    <w:rsid w:val="00F65EF1"/>
    <w:rsid w:val="00F73DE3"/>
    <w:rsid w:val="00F7692C"/>
    <w:rsid w:val="00F77866"/>
    <w:rsid w:val="00F8156E"/>
    <w:rsid w:val="00F819F1"/>
    <w:rsid w:val="00F81EFD"/>
    <w:rsid w:val="00F81F65"/>
    <w:rsid w:val="00F82537"/>
    <w:rsid w:val="00F8312C"/>
    <w:rsid w:val="00F84A03"/>
    <w:rsid w:val="00F906AA"/>
    <w:rsid w:val="00F91174"/>
    <w:rsid w:val="00F911F7"/>
    <w:rsid w:val="00F93043"/>
    <w:rsid w:val="00F9322A"/>
    <w:rsid w:val="00F932AD"/>
    <w:rsid w:val="00F953D6"/>
    <w:rsid w:val="00F97636"/>
    <w:rsid w:val="00F97D34"/>
    <w:rsid w:val="00FA073E"/>
    <w:rsid w:val="00FA1F84"/>
    <w:rsid w:val="00FA671D"/>
    <w:rsid w:val="00FA6772"/>
    <w:rsid w:val="00FA6F0D"/>
    <w:rsid w:val="00FB0EF1"/>
    <w:rsid w:val="00FB243A"/>
    <w:rsid w:val="00FB3980"/>
    <w:rsid w:val="00FB3AF7"/>
    <w:rsid w:val="00FB49EE"/>
    <w:rsid w:val="00FB5DD2"/>
    <w:rsid w:val="00FB65A9"/>
    <w:rsid w:val="00FB6700"/>
    <w:rsid w:val="00FB71AD"/>
    <w:rsid w:val="00FB76EC"/>
    <w:rsid w:val="00FB7B0A"/>
    <w:rsid w:val="00FC006E"/>
    <w:rsid w:val="00FC0FDB"/>
    <w:rsid w:val="00FC17DE"/>
    <w:rsid w:val="00FC3677"/>
    <w:rsid w:val="00FC57D6"/>
    <w:rsid w:val="00FC5C9D"/>
    <w:rsid w:val="00FC5E68"/>
    <w:rsid w:val="00FC6D92"/>
    <w:rsid w:val="00FD02C9"/>
    <w:rsid w:val="00FD13F3"/>
    <w:rsid w:val="00FD2E19"/>
    <w:rsid w:val="00FE06A9"/>
    <w:rsid w:val="00FE091F"/>
    <w:rsid w:val="00FE1509"/>
    <w:rsid w:val="00FE27A6"/>
    <w:rsid w:val="00FE43AC"/>
    <w:rsid w:val="00FE636B"/>
    <w:rsid w:val="00FE677A"/>
    <w:rsid w:val="00FE696D"/>
    <w:rsid w:val="00FE7AB2"/>
    <w:rsid w:val="00FF00E6"/>
    <w:rsid w:val="00FF054F"/>
    <w:rsid w:val="00FF1EEB"/>
    <w:rsid w:val="00FF2E58"/>
    <w:rsid w:val="00FF3F33"/>
    <w:rsid w:val="027D7624"/>
    <w:rsid w:val="0463B797"/>
    <w:rsid w:val="0480128E"/>
    <w:rsid w:val="06F14F5C"/>
    <w:rsid w:val="08E70B99"/>
    <w:rsid w:val="096195EF"/>
    <w:rsid w:val="0A9E6B99"/>
    <w:rsid w:val="0AA35979"/>
    <w:rsid w:val="0AB670AD"/>
    <w:rsid w:val="0D311F35"/>
    <w:rsid w:val="0E0CF4E1"/>
    <w:rsid w:val="0E527414"/>
    <w:rsid w:val="0EF2BB00"/>
    <w:rsid w:val="0F42E0FB"/>
    <w:rsid w:val="104F25AC"/>
    <w:rsid w:val="11E1B886"/>
    <w:rsid w:val="1571A71B"/>
    <w:rsid w:val="163C18DC"/>
    <w:rsid w:val="17B51504"/>
    <w:rsid w:val="185095E9"/>
    <w:rsid w:val="19530FE8"/>
    <w:rsid w:val="1A36723B"/>
    <w:rsid w:val="1B8963E3"/>
    <w:rsid w:val="1C23F78A"/>
    <w:rsid w:val="1EAD4DD4"/>
    <w:rsid w:val="1ECAC859"/>
    <w:rsid w:val="1EEDB2E3"/>
    <w:rsid w:val="1EF09D07"/>
    <w:rsid w:val="1F9482F2"/>
    <w:rsid w:val="202CBB42"/>
    <w:rsid w:val="20BC2A44"/>
    <w:rsid w:val="218E03E6"/>
    <w:rsid w:val="21B8C63E"/>
    <w:rsid w:val="224D141D"/>
    <w:rsid w:val="244017A5"/>
    <w:rsid w:val="245389D7"/>
    <w:rsid w:val="2486C9E3"/>
    <w:rsid w:val="24F5AD0D"/>
    <w:rsid w:val="255D8397"/>
    <w:rsid w:val="2804FFE5"/>
    <w:rsid w:val="28AAF7B8"/>
    <w:rsid w:val="2B2A0F92"/>
    <w:rsid w:val="2BFCD1A0"/>
    <w:rsid w:val="2DD1DEFA"/>
    <w:rsid w:val="30034892"/>
    <w:rsid w:val="30683954"/>
    <w:rsid w:val="314426E4"/>
    <w:rsid w:val="31C2A681"/>
    <w:rsid w:val="34FAABF4"/>
    <w:rsid w:val="35B643A2"/>
    <w:rsid w:val="3822C2B3"/>
    <w:rsid w:val="389A8BF2"/>
    <w:rsid w:val="39E726FA"/>
    <w:rsid w:val="3D0C002A"/>
    <w:rsid w:val="3E551776"/>
    <w:rsid w:val="3EB5FC76"/>
    <w:rsid w:val="3FAD8C3E"/>
    <w:rsid w:val="3FB486C5"/>
    <w:rsid w:val="43A30A19"/>
    <w:rsid w:val="45084557"/>
    <w:rsid w:val="462BD03A"/>
    <w:rsid w:val="488BD562"/>
    <w:rsid w:val="4BFF5F02"/>
    <w:rsid w:val="4C654A35"/>
    <w:rsid w:val="4D6D4CFF"/>
    <w:rsid w:val="4DE7D7BB"/>
    <w:rsid w:val="4EECDA41"/>
    <w:rsid w:val="4EEF0C2C"/>
    <w:rsid w:val="52BAC030"/>
    <w:rsid w:val="547DE264"/>
    <w:rsid w:val="56F982A6"/>
    <w:rsid w:val="59DD33DE"/>
    <w:rsid w:val="5A3FE6F3"/>
    <w:rsid w:val="5A401D1E"/>
    <w:rsid w:val="5B497066"/>
    <w:rsid w:val="5B9E4158"/>
    <w:rsid w:val="5DFCF05E"/>
    <w:rsid w:val="5E24085E"/>
    <w:rsid w:val="5E36D9D0"/>
    <w:rsid w:val="5EE1C66E"/>
    <w:rsid w:val="60932364"/>
    <w:rsid w:val="61489F6B"/>
    <w:rsid w:val="6390B8E9"/>
    <w:rsid w:val="63C60D3E"/>
    <w:rsid w:val="642E90C7"/>
    <w:rsid w:val="649FA832"/>
    <w:rsid w:val="64C66F32"/>
    <w:rsid w:val="67188E53"/>
    <w:rsid w:val="694BE1A2"/>
    <w:rsid w:val="69AE5D3B"/>
    <w:rsid w:val="6A044562"/>
    <w:rsid w:val="7137271A"/>
    <w:rsid w:val="722E9159"/>
    <w:rsid w:val="7336DEA3"/>
    <w:rsid w:val="7365ABE2"/>
    <w:rsid w:val="73B95262"/>
    <w:rsid w:val="7516BDAF"/>
    <w:rsid w:val="755526CF"/>
    <w:rsid w:val="76227847"/>
    <w:rsid w:val="763D7206"/>
    <w:rsid w:val="76F7C7E0"/>
    <w:rsid w:val="7741BD9B"/>
    <w:rsid w:val="7836BEB2"/>
    <w:rsid w:val="7844D224"/>
    <w:rsid w:val="786994F4"/>
    <w:rsid w:val="78B8F01F"/>
    <w:rsid w:val="79086C37"/>
    <w:rsid w:val="79A6ED15"/>
    <w:rsid w:val="7B517081"/>
    <w:rsid w:val="7BB92536"/>
    <w:rsid w:val="7BC7133D"/>
    <w:rsid w:val="7C66AFEA"/>
    <w:rsid w:val="7CC69C86"/>
    <w:rsid w:val="7D064D29"/>
    <w:rsid w:val="7E8AB6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9D0BF"/>
  <w15:chartTrackingRefBased/>
  <w15:docId w15:val="{1553BA1C-8AEC-40E7-A9FA-478B6CBD7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892"/>
    <w:pPr>
      <w:spacing w:before="120" w:after="240" w:line="360" w:lineRule="auto"/>
    </w:pPr>
    <w:rPr>
      <w:rFonts w:ascii="Myriad Pro" w:eastAsia="Times New Roman" w:hAnsi="Myriad Pro" w:cs="Times New Roman"/>
      <w:kern w:val="0"/>
      <w14:ligatures w14:val="none"/>
    </w:rPr>
  </w:style>
  <w:style w:type="paragraph" w:styleId="Heading1">
    <w:name w:val="heading 1"/>
    <w:basedOn w:val="Normal"/>
    <w:next w:val="Normal"/>
    <w:link w:val="Heading1Char"/>
    <w:autoRedefine/>
    <w:uiPriority w:val="9"/>
    <w:qFormat/>
    <w:rsid w:val="00DD3CC0"/>
    <w:pPr>
      <w:keepNext/>
      <w:keepLines/>
      <w:spacing w:before="720" w:after="160" w:line="240" w:lineRule="auto"/>
      <w:outlineLvl w:val="0"/>
    </w:pPr>
    <w:rPr>
      <w:rFonts w:ascii="Myriad Pro Light Cond" w:eastAsiaTheme="majorEastAsia" w:hAnsi="Myriad Pro Light Cond" w:cstheme="majorBidi"/>
      <w:b/>
      <w:kern w:val="2"/>
      <w:sz w:val="48"/>
      <w:szCs w:val="50"/>
      <w14:ligatures w14:val="standardContextual"/>
    </w:rPr>
  </w:style>
  <w:style w:type="paragraph" w:styleId="Heading2">
    <w:name w:val="heading 2"/>
    <w:basedOn w:val="Normal"/>
    <w:next w:val="Normal"/>
    <w:link w:val="Heading2Char"/>
    <w:autoRedefine/>
    <w:uiPriority w:val="9"/>
    <w:unhideWhenUsed/>
    <w:qFormat/>
    <w:rsid w:val="00B0405B"/>
    <w:pPr>
      <w:keepNext/>
      <w:keepLines/>
      <w:spacing w:line="240" w:lineRule="auto"/>
      <w:outlineLvl w:val="1"/>
    </w:pPr>
    <w:rPr>
      <w:rFonts w:ascii="Myriad Pro Light Cond" w:eastAsiaTheme="majorEastAsia" w:hAnsi="Myriad Pro Light Cond" w:cstheme="majorBidi"/>
      <w:bCs/>
      <w:kern w:val="2"/>
      <w:sz w:val="48"/>
      <w:szCs w:val="44"/>
      <w14:ligatures w14:val="standardContextual"/>
    </w:rPr>
  </w:style>
  <w:style w:type="paragraph" w:styleId="Heading3">
    <w:name w:val="heading 3"/>
    <w:basedOn w:val="Normal"/>
    <w:next w:val="Normal"/>
    <w:link w:val="Heading3Char"/>
    <w:uiPriority w:val="9"/>
    <w:semiHidden/>
    <w:unhideWhenUsed/>
    <w:qFormat/>
    <w:rsid w:val="00EC217C"/>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C217C"/>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EC217C"/>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EC217C"/>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EC217C"/>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EC217C"/>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EC217C"/>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CC0"/>
    <w:rPr>
      <w:rFonts w:ascii="Myriad Pro Light Cond" w:eastAsiaTheme="majorEastAsia" w:hAnsi="Myriad Pro Light Cond" w:cstheme="majorBidi"/>
      <w:b/>
      <w:sz w:val="48"/>
      <w:szCs w:val="50"/>
    </w:rPr>
  </w:style>
  <w:style w:type="character" w:customStyle="1" w:styleId="Heading2Char">
    <w:name w:val="Heading 2 Char"/>
    <w:basedOn w:val="DefaultParagraphFont"/>
    <w:link w:val="Heading2"/>
    <w:uiPriority w:val="9"/>
    <w:rsid w:val="00B0405B"/>
    <w:rPr>
      <w:rFonts w:ascii="Myriad Pro Light Cond" w:eastAsiaTheme="majorEastAsia" w:hAnsi="Myriad Pro Light Cond" w:cstheme="majorBidi"/>
      <w:bCs/>
      <w:sz w:val="48"/>
      <w:szCs w:val="44"/>
    </w:rPr>
  </w:style>
  <w:style w:type="character" w:customStyle="1" w:styleId="Heading3Char">
    <w:name w:val="Heading 3 Char"/>
    <w:basedOn w:val="DefaultParagraphFont"/>
    <w:link w:val="Heading3"/>
    <w:uiPriority w:val="9"/>
    <w:semiHidden/>
    <w:rsid w:val="00EC21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21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21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21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1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1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17C"/>
    <w:rPr>
      <w:rFonts w:eastAsiaTheme="majorEastAsia" w:cstheme="majorBidi"/>
      <w:color w:val="272727" w:themeColor="text1" w:themeTint="D8"/>
    </w:rPr>
  </w:style>
  <w:style w:type="paragraph" w:styleId="Title">
    <w:name w:val="Title"/>
    <w:basedOn w:val="Normal"/>
    <w:next w:val="Normal"/>
    <w:link w:val="TitleChar"/>
    <w:uiPriority w:val="10"/>
    <w:qFormat/>
    <w:rsid w:val="00EC217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C21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17C"/>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C21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17C"/>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EC217C"/>
    <w:rPr>
      <w:i/>
      <w:iCs/>
      <w:color w:val="404040" w:themeColor="text1" w:themeTint="BF"/>
    </w:rPr>
  </w:style>
  <w:style w:type="paragraph" w:styleId="ListParagraph">
    <w:name w:val="List Paragraph"/>
    <w:basedOn w:val="Normal"/>
    <w:uiPriority w:val="34"/>
    <w:qFormat/>
    <w:rsid w:val="00EC217C"/>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EC217C"/>
    <w:rPr>
      <w:i/>
      <w:iCs/>
      <w:color w:val="0F4761" w:themeColor="accent1" w:themeShade="BF"/>
    </w:rPr>
  </w:style>
  <w:style w:type="paragraph" w:styleId="IntenseQuote">
    <w:name w:val="Intense Quote"/>
    <w:basedOn w:val="Normal"/>
    <w:next w:val="Normal"/>
    <w:link w:val="IntenseQuoteChar"/>
    <w:uiPriority w:val="30"/>
    <w:qFormat/>
    <w:rsid w:val="00EC217C"/>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EC217C"/>
    <w:rPr>
      <w:i/>
      <w:iCs/>
      <w:color w:val="0F4761" w:themeColor="accent1" w:themeShade="BF"/>
    </w:rPr>
  </w:style>
  <w:style w:type="character" w:styleId="IntenseReference">
    <w:name w:val="Intense Reference"/>
    <w:basedOn w:val="DefaultParagraphFont"/>
    <w:uiPriority w:val="32"/>
    <w:qFormat/>
    <w:rsid w:val="00EC217C"/>
    <w:rPr>
      <w:b/>
      <w:bCs/>
      <w:smallCaps/>
      <w:color w:val="0F4761" w:themeColor="accent1" w:themeShade="BF"/>
      <w:spacing w:val="5"/>
    </w:rPr>
  </w:style>
  <w:style w:type="character" w:styleId="Hyperlink">
    <w:name w:val="Hyperlink"/>
    <w:basedOn w:val="DefaultParagraphFont"/>
    <w:uiPriority w:val="99"/>
    <w:unhideWhenUsed/>
    <w:rsid w:val="00EC217C"/>
    <w:rPr>
      <w:color w:val="467886" w:themeColor="hyperlink"/>
      <w:u w:val="single"/>
    </w:rPr>
  </w:style>
  <w:style w:type="character" w:styleId="UnresolvedMention">
    <w:name w:val="Unresolved Mention"/>
    <w:basedOn w:val="DefaultParagraphFont"/>
    <w:uiPriority w:val="99"/>
    <w:semiHidden/>
    <w:unhideWhenUsed/>
    <w:rsid w:val="00EC217C"/>
    <w:rPr>
      <w:color w:val="605E5C"/>
      <w:shd w:val="clear" w:color="auto" w:fill="E1DFDD"/>
    </w:rPr>
  </w:style>
  <w:style w:type="table" w:styleId="TableGrid">
    <w:name w:val="Table Grid"/>
    <w:basedOn w:val="TableNormal"/>
    <w:uiPriority w:val="39"/>
    <w:rsid w:val="00EC217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0C541E"/>
    <w:pPr>
      <w:snapToGrid w:val="0"/>
      <w:spacing w:before="0" w:line="240" w:lineRule="auto"/>
      <w:contextualSpacing/>
    </w:pPr>
    <w:rPr>
      <w:rFonts w:eastAsiaTheme="minorHAnsi" w:cstheme="minorBidi"/>
      <w:i/>
      <w:kern w:val="2"/>
      <w:sz w:val="22"/>
      <w:szCs w:val="22"/>
      <w14:ligatures w14:val="standardContextual"/>
    </w:rPr>
  </w:style>
  <w:style w:type="character" w:customStyle="1" w:styleId="FootnoteTextChar">
    <w:name w:val="Footnote Text Char"/>
    <w:basedOn w:val="DefaultParagraphFont"/>
    <w:link w:val="FootnoteText"/>
    <w:uiPriority w:val="99"/>
    <w:rsid w:val="000C541E"/>
    <w:rPr>
      <w:rFonts w:ascii="Myriad Pro" w:hAnsi="Myriad Pro"/>
      <w:i/>
      <w:sz w:val="22"/>
      <w:szCs w:val="22"/>
    </w:rPr>
  </w:style>
  <w:style w:type="character" w:styleId="FootnoteReference">
    <w:name w:val="footnote reference"/>
    <w:basedOn w:val="DefaultParagraphFont"/>
    <w:uiPriority w:val="99"/>
    <w:unhideWhenUsed/>
    <w:rsid w:val="00795961"/>
    <w:rPr>
      <w:vertAlign w:val="superscript"/>
    </w:rPr>
  </w:style>
  <w:style w:type="paragraph" w:styleId="NormalWeb">
    <w:name w:val="Normal (Web)"/>
    <w:basedOn w:val="Normal"/>
    <w:uiPriority w:val="99"/>
    <w:unhideWhenUsed/>
    <w:rsid w:val="00EC217C"/>
    <w:pPr>
      <w:spacing w:before="100" w:beforeAutospacing="1" w:after="100" w:afterAutospacing="1"/>
    </w:pPr>
  </w:style>
  <w:style w:type="paragraph" w:styleId="NoSpacing">
    <w:name w:val="No Spacing"/>
    <w:uiPriority w:val="1"/>
    <w:qFormat/>
    <w:rsid w:val="00EC217C"/>
    <w:pPr>
      <w:spacing w:after="0" w:line="240" w:lineRule="auto"/>
    </w:pPr>
    <w:rPr>
      <w:sz w:val="22"/>
      <w:szCs w:val="22"/>
    </w:rPr>
  </w:style>
  <w:style w:type="paragraph" w:styleId="TOCHeading">
    <w:name w:val="TOC Heading"/>
    <w:basedOn w:val="Heading1"/>
    <w:next w:val="Normal"/>
    <w:uiPriority w:val="39"/>
    <w:unhideWhenUsed/>
    <w:qFormat/>
    <w:rsid w:val="00E95E68"/>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4F2B0A"/>
    <w:pPr>
      <w:tabs>
        <w:tab w:val="right" w:leader="dot" w:pos="9926"/>
      </w:tabs>
      <w:spacing w:before="0" w:after="0"/>
    </w:pPr>
    <w:rPr>
      <w:b/>
      <w:bCs/>
      <w:iCs/>
    </w:rPr>
  </w:style>
  <w:style w:type="paragraph" w:styleId="TOC2">
    <w:name w:val="toc 2"/>
    <w:basedOn w:val="Normal"/>
    <w:next w:val="Normal"/>
    <w:autoRedefine/>
    <w:uiPriority w:val="39"/>
    <w:unhideWhenUsed/>
    <w:rsid w:val="004F2B0A"/>
    <w:pPr>
      <w:spacing w:before="0" w:after="0"/>
      <w:ind w:left="245"/>
    </w:pPr>
    <w:rPr>
      <w:bCs/>
      <w:szCs w:val="22"/>
    </w:rPr>
  </w:style>
  <w:style w:type="paragraph" w:styleId="Header">
    <w:name w:val="header"/>
    <w:basedOn w:val="Normal"/>
    <w:link w:val="HeaderChar"/>
    <w:uiPriority w:val="99"/>
    <w:unhideWhenUsed/>
    <w:rsid w:val="00E16C56"/>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E16C56"/>
    <w:rPr>
      <w:sz w:val="22"/>
      <w:szCs w:val="22"/>
    </w:rPr>
  </w:style>
  <w:style w:type="paragraph" w:styleId="Footer">
    <w:name w:val="footer"/>
    <w:basedOn w:val="Normal"/>
    <w:link w:val="FooterChar"/>
    <w:uiPriority w:val="99"/>
    <w:unhideWhenUsed/>
    <w:rsid w:val="006E236A"/>
    <w:pPr>
      <w:tabs>
        <w:tab w:val="center" w:pos="4680"/>
        <w:tab w:val="right" w:pos="9360"/>
      </w:tabs>
    </w:pPr>
    <w:rPr>
      <w:rFonts w:ascii="Myriad Pro Cond" w:eastAsiaTheme="minorHAnsi" w:hAnsi="Myriad Pro Cond" w:cstheme="minorBidi"/>
      <w:kern w:val="2"/>
      <w:sz w:val="22"/>
      <w:szCs w:val="22"/>
      <w14:ligatures w14:val="standardContextual"/>
    </w:rPr>
  </w:style>
  <w:style w:type="character" w:customStyle="1" w:styleId="FooterChar">
    <w:name w:val="Footer Char"/>
    <w:basedOn w:val="DefaultParagraphFont"/>
    <w:link w:val="Footer"/>
    <w:uiPriority w:val="99"/>
    <w:rsid w:val="006E236A"/>
    <w:rPr>
      <w:rFonts w:ascii="Myriad Pro Cond" w:hAnsi="Myriad Pro Cond"/>
      <w:sz w:val="22"/>
      <w:szCs w:val="22"/>
    </w:rPr>
  </w:style>
  <w:style w:type="paragraph" w:styleId="Revision">
    <w:name w:val="Revision"/>
    <w:hidden/>
    <w:uiPriority w:val="99"/>
    <w:semiHidden/>
    <w:rsid w:val="0066493B"/>
    <w:pPr>
      <w:spacing w:after="0" w:line="240" w:lineRule="auto"/>
    </w:pPr>
    <w:rPr>
      <w:sz w:val="22"/>
      <w:szCs w:val="22"/>
    </w:rPr>
  </w:style>
  <w:style w:type="character" w:styleId="CommentReference">
    <w:name w:val="annotation reference"/>
    <w:basedOn w:val="DefaultParagraphFont"/>
    <w:uiPriority w:val="99"/>
    <w:semiHidden/>
    <w:unhideWhenUsed/>
    <w:rsid w:val="0066493B"/>
    <w:rPr>
      <w:sz w:val="16"/>
      <w:szCs w:val="16"/>
    </w:rPr>
  </w:style>
  <w:style w:type="paragraph" w:styleId="CommentText">
    <w:name w:val="annotation text"/>
    <w:basedOn w:val="Normal"/>
    <w:link w:val="CommentTextChar"/>
    <w:uiPriority w:val="99"/>
    <w:unhideWhenUsed/>
    <w:rsid w:val="0066493B"/>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66493B"/>
    <w:rPr>
      <w:sz w:val="20"/>
      <w:szCs w:val="20"/>
    </w:rPr>
  </w:style>
  <w:style w:type="paragraph" w:styleId="CommentSubject">
    <w:name w:val="annotation subject"/>
    <w:basedOn w:val="CommentText"/>
    <w:next w:val="CommentText"/>
    <w:link w:val="CommentSubjectChar"/>
    <w:uiPriority w:val="99"/>
    <w:semiHidden/>
    <w:unhideWhenUsed/>
    <w:rsid w:val="0066493B"/>
    <w:rPr>
      <w:b/>
      <w:bCs/>
    </w:rPr>
  </w:style>
  <w:style w:type="character" w:customStyle="1" w:styleId="CommentSubjectChar">
    <w:name w:val="Comment Subject Char"/>
    <w:basedOn w:val="CommentTextChar"/>
    <w:link w:val="CommentSubject"/>
    <w:uiPriority w:val="99"/>
    <w:semiHidden/>
    <w:rsid w:val="0066493B"/>
    <w:rPr>
      <w:b/>
      <w:bCs/>
      <w:sz w:val="20"/>
      <w:szCs w:val="20"/>
    </w:rPr>
  </w:style>
  <w:style w:type="character" w:styleId="PageNumber">
    <w:name w:val="page number"/>
    <w:basedOn w:val="DefaultParagraphFont"/>
    <w:uiPriority w:val="99"/>
    <w:semiHidden/>
    <w:unhideWhenUsed/>
    <w:rsid w:val="009C346B"/>
  </w:style>
  <w:style w:type="character" w:styleId="FollowedHyperlink">
    <w:name w:val="FollowedHyperlink"/>
    <w:basedOn w:val="DefaultParagraphFont"/>
    <w:uiPriority w:val="99"/>
    <w:semiHidden/>
    <w:unhideWhenUsed/>
    <w:rsid w:val="00D90A04"/>
    <w:rPr>
      <w:color w:val="96607D" w:themeColor="followedHyperlink"/>
      <w:u w:val="single"/>
    </w:rPr>
  </w:style>
  <w:style w:type="character" w:styleId="Emphasis">
    <w:name w:val="Emphasis"/>
    <w:basedOn w:val="DefaultParagraphFont"/>
    <w:uiPriority w:val="20"/>
    <w:qFormat/>
    <w:rsid w:val="00DA5A1D"/>
    <w:rPr>
      <w:i/>
      <w:iCs/>
    </w:rPr>
  </w:style>
  <w:style w:type="paragraph" w:styleId="TOC3">
    <w:name w:val="toc 3"/>
    <w:basedOn w:val="Normal"/>
    <w:next w:val="Normal"/>
    <w:autoRedefine/>
    <w:uiPriority w:val="39"/>
    <w:semiHidden/>
    <w:unhideWhenUsed/>
    <w:rsid w:val="002504A2"/>
    <w:pPr>
      <w:spacing w:before="0"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2504A2"/>
    <w:pPr>
      <w:spacing w:before="0"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2504A2"/>
    <w:pPr>
      <w:spacing w:before="0"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2504A2"/>
    <w:pPr>
      <w:spacing w:before="0"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2504A2"/>
    <w:pPr>
      <w:spacing w:before="0"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2504A2"/>
    <w:pPr>
      <w:spacing w:before="0"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2504A2"/>
    <w:pPr>
      <w:spacing w:before="0" w:after="0"/>
      <w:ind w:left="1920"/>
    </w:pPr>
    <w:rPr>
      <w:rFonts w:asciiTheme="minorHAnsi" w:hAnsiTheme="minorHAnsi"/>
      <w:sz w:val="20"/>
      <w:szCs w:val="20"/>
    </w:rPr>
  </w:style>
  <w:style w:type="paragraph" w:styleId="EndnoteText">
    <w:name w:val="endnote text"/>
    <w:basedOn w:val="Normal"/>
    <w:link w:val="EndnoteTextChar"/>
    <w:uiPriority w:val="99"/>
    <w:semiHidden/>
    <w:unhideWhenUsed/>
    <w:rsid w:val="0041345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13451"/>
    <w:rPr>
      <w:rFonts w:ascii="Myriad Pro" w:eastAsia="Times New Roman" w:hAnsi="Myriad Pro" w:cs="Times New Roman"/>
      <w:kern w:val="0"/>
      <w:sz w:val="20"/>
      <w:szCs w:val="20"/>
      <w14:ligatures w14:val="none"/>
    </w:rPr>
  </w:style>
  <w:style w:type="character" w:styleId="EndnoteReference">
    <w:name w:val="endnote reference"/>
    <w:basedOn w:val="DefaultParagraphFont"/>
    <w:uiPriority w:val="99"/>
    <w:semiHidden/>
    <w:unhideWhenUsed/>
    <w:rsid w:val="004134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049">
      <w:bodyDiv w:val="1"/>
      <w:marLeft w:val="0"/>
      <w:marRight w:val="0"/>
      <w:marTop w:val="0"/>
      <w:marBottom w:val="0"/>
      <w:divBdr>
        <w:top w:val="none" w:sz="0" w:space="0" w:color="auto"/>
        <w:left w:val="none" w:sz="0" w:space="0" w:color="auto"/>
        <w:bottom w:val="none" w:sz="0" w:space="0" w:color="auto"/>
        <w:right w:val="none" w:sz="0" w:space="0" w:color="auto"/>
      </w:divBdr>
    </w:div>
    <w:div w:id="314604008">
      <w:bodyDiv w:val="1"/>
      <w:marLeft w:val="0"/>
      <w:marRight w:val="0"/>
      <w:marTop w:val="0"/>
      <w:marBottom w:val="0"/>
      <w:divBdr>
        <w:top w:val="none" w:sz="0" w:space="0" w:color="auto"/>
        <w:left w:val="none" w:sz="0" w:space="0" w:color="auto"/>
        <w:bottom w:val="none" w:sz="0" w:space="0" w:color="auto"/>
        <w:right w:val="none" w:sz="0" w:space="0" w:color="auto"/>
      </w:divBdr>
    </w:div>
    <w:div w:id="318533357">
      <w:bodyDiv w:val="1"/>
      <w:marLeft w:val="0"/>
      <w:marRight w:val="0"/>
      <w:marTop w:val="0"/>
      <w:marBottom w:val="0"/>
      <w:divBdr>
        <w:top w:val="none" w:sz="0" w:space="0" w:color="auto"/>
        <w:left w:val="none" w:sz="0" w:space="0" w:color="auto"/>
        <w:bottom w:val="none" w:sz="0" w:space="0" w:color="auto"/>
        <w:right w:val="none" w:sz="0" w:space="0" w:color="auto"/>
      </w:divBdr>
    </w:div>
    <w:div w:id="351689851">
      <w:bodyDiv w:val="1"/>
      <w:marLeft w:val="0"/>
      <w:marRight w:val="0"/>
      <w:marTop w:val="0"/>
      <w:marBottom w:val="0"/>
      <w:divBdr>
        <w:top w:val="none" w:sz="0" w:space="0" w:color="auto"/>
        <w:left w:val="none" w:sz="0" w:space="0" w:color="auto"/>
        <w:bottom w:val="none" w:sz="0" w:space="0" w:color="auto"/>
        <w:right w:val="none" w:sz="0" w:space="0" w:color="auto"/>
      </w:divBdr>
    </w:div>
    <w:div w:id="359745769">
      <w:bodyDiv w:val="1"/>
      <w:marLeft w:val="0"/>
      <w:marRight w:val="0"/>
      <w:marTop w:val="0"/>
      <w:marBottom w:val="0"/>
      <w:divBdr>
        <w:top w:val="none" w:sz="0" w:space="0" w:color="auto"/>
        <w:left w:val="none" w:sz="0" w:space="0" w:color="auto"/>
        <w:bottom w:val="none" w:sz="0" w:space="0" w:color="auto"/>
        <w:right w:val="none" w:sz="0" w:space="0" w:color="auto"/>
      </w:divBdr>
      <w:divsChild>
        <w:div w:id="286740292">
          <w:marLeft w:val="0"/>
          <w:marRight w:val="0"/>
          <w:marTop w:val="0"/>
          <w:marBottom w:val="0"/>
          <w:divBdr>
            <w:top w:val="none" w:sz="0" w:space="0" w:color="auto"/>
            <w:left w:val="none" w:sz="0" w:space="0" w:color="auto"/>
            <w:bottom w:val="none" w:sz="0" w:space="0" w:color="auto"/>
            <w:right w:val="none" w:sz="0" w:space="0" w:color="auto"/>
          </w:divBdr>
        </w:div>
      </w:divsChild>
    </w:div>
    <w:div w:id="431121579">
      <w:bodyDiv w:val="1"/>
      <w:marLeft w:val="0"/>
      <w:marRight w:val="0"/>
      <w:marTop w:val="0"/>
      <w:marBottom w:val="0"/>
      <w:divBdr>
        <w:top w:val="none" w:sz="0" w:space="0" w:color="auto"/>
        <w:left w:val="none" w:sz="0" w:space="0" w:color="auto"/>
        <w:bottom w:val="none" w:sz="0" w:space="0" w:color="auto"/>
        <w:right w:val="none" w:sz="0" w:space="0" w:color="auto"/>
      </w:divBdr>
    </w:div>
    <w:div w:id="466899466">
      <w:bodyDiv w:val="1"/>
      <w:marLeft w:val="0"/>
      <w:marRight w:val="0"/>
      <w:marTop w:val="0"/>
      <w:marBottom w:val="0"/>
      <w:divBdr>
        <w:top w:val="none" w:sz="0" w:space="0" w:color="auto"/>
        <w:left w:val="none" w:sz="0" w:space="0" w:color="auto"/>
        <w:bottom w:val="none" w:sz="0" w:space="0" w:color="auto"/>
        <w:right w:val="none" w:sz="0" w:space="0" w:color="auto"/>
      </w:divBdr>
      <w:divsChild>
        <w:div w:id="1060445063">
          <w:marLeft w:val="0"/>
          <w:marRight w:val="0"/>
          <w:marTop w:val="0"/>
          <w:marBottom w:val="0"/>
          <w:divBdr>
            <w:top w:val="none" w:sz="0" w:space="0" w:color="auto"/>
            <w:left w:val="none" w:sz="0" w:space="0" w:color="auto"/>
            <w:bottom w:val="none" w:sz="0" w:space="0" w:color="auto"/>
            <w:right w:val="none" w:sz="0" w:space="0" w:color="auto"/>
          </w:divBdr>
        </w:div>
      </w:divsChild>
    </w:div>
    <w:div w:id="508955003">
      <w:bodyDiv w:val="1"/>
      <w:marLeft w:val="0"/>
      <w:marRight w:val="0"/>
      <w:marTop w:val="0"/>
      <w:marBottom w:val="0"/>
      <w:divBdr>
        <w:top w:val="none" w:sz="0" w:space="0" w:color="auto"/>
        <w:left w:val="none" w:sz="0" w:space="0" w:color="auto"/>
        <w:bottom w:val="none" w:sz="0" w:space="0" w:color="auto"/>
        <w:right w:val="none" w:sz="0" w:space="0" w:color="auto"/>
      </w:divBdr>
      <w:divsChild>
        <w:div w:id="1889878341">
          <w:marLeft w:val="0"/>
          <w:marRight w:val="0"/>
          <w:marTop w:val="0"/>
          <w:marBottom w:val="0"/>
          <w:divBdr>
            <w:top w:val="none" w:sz="0" w:space="0" w:color="3D3D3D"/>
            <w:left w:val="none" w:sz="0" w:space="0" w:color="3D3D3D"/>
            <w:bottom w:val="none" w:sz="0" w:space="0" w:color="3D3D3D"/>
            <w:right w:val="none" w:sz="0" w:space="0" w:color="3D3D3D"/>
          </w:divBdr>
        </w:div>
      </w:divsChild>
    </w:div>
    <w:div w:id="691804848">
      <w:bodyDiv w:val="1"/>
      <w:marLeft w:val="0"/>
      <w:marRight w:val="0"/>
      <w:marTop w:val="0"/>
      <w:marBottom w:val="0"/>
      <w:divBdr>
        <w:top w:val="none" w:sz="0" w:space="0" w:color="auto"/>
        <w:left w:val="none" w:sz="0" w:space="0" w:color="auto"/>
        <w:bottom w:val="none" w:sz="0" w:space="0" w:color="auto"/>
        <w:right w:val="none" w:sz="0" w:space="0" w:color="auto"/>
      </w:divBdr>
      <w:divsChild>
        <w:div w:id="1472403405">
          <w:marLeft w:val="0"/>
          <w:marRight w:val="0"/>
          <w:marTop w:val="0"/>
          <w:marBottom w:val="0"/>
          <w:divBdr>
            <w:top w:val="none" w:sz="0" w:space="0" w:color="auto"/>
            <w:left w:val="none" w:sz="0" w:space="0" w:color="auto"/>
            <w:bottom w:val="none" w:sz="0" w:space="0" w:color="auto"/>
            <w:right w:val="none" w:sz="0" w:space="0" w:color="auto"/>
          </w:divBdr>
        </w:div>
      </w:divsChild>
    </w:div>
    <w:div w:id="737245542">
      <w:bodyDiv w:val="1"/>
      <w:marLeft w:val="0"/>
      <w:marRight w:val="0"/>
      <w:marTop w:val="0"/>
      <w:marBottom w:val="0"/>
      <w:divBdr>
        <w:top w:val="none" w:sz="0" w:space="0" w:color="auto"/>
        <w:left w:val="none" w:sz="0" w:space="0" w:color="auto"/>
        <w:bottom w:val="none" w:sz="0" w:space="0" w:color="auto"/>
        <w:right w:val="none" w:sz="0" w:space="0" w:color="auto"/>
      </w:divBdr>
      <w:divsChild>
        <w:div w:id="849828628">
          <w:marLeft w:val="0"/>
          <w:marRight w:val="0"/>
          <w:marTop w:val="0"/>
          <w:marBottom w:val="0"/>
          <w:divBdr>
            <w:top w:val="none" w:sz="0" w:space="0" w:color="auto"/>
            <w:left w:val="none" w:sz="0" w:space="0" w:color="auto"/>
            <w:bottom w:val="none" w:sz="0" w:space="0" w:color="auto"/>
            <w:right w:val="none" w:sz="0" w:space="0" w:color="auto"/>
          </w:divBdr>
        </w:div>
      </w:divsChild>
    </w:div>
    <w:div w:id="809518567">
      <w:bodyDiv w:val="1"/>
      <w:marLeft w:val="0"/>
      <w:marRight w:val="0"/>
      <w:marTop w:val="0"/>
      <w:marBottom w:val="0"/>
      <w:divBdr>
        <w:top w:val="none" w:sz="0" w:space="0" w:color="auto"/>
        <w:left w:val="none" w:sz="0" w:space="0" w:color="auto"/>
        <w:bottom w:val="none" w:sz="0" w:space="0" w:color="auto"/>
        <w:right w:val="none" w:sz="0" w:space="0" w:color="auto"/>
      </w:divBdr>
      <w:divsChild>
        <w:div w:id="1670206898">
          <w:marLeft w:val="0"/>
          <w:marRight w:val="0"/>
          <w:marTop w:val="0"/>
          <w:marBottom w:val="0"/>
          <w:divBdr>
            <w:top w:val="none" w:sz="0" w:space="0" w:color="3D3D3D"/>
            <w:left w:val="none" w:sz="0" w:space="0" w:color="3D3D3D"/>
            <w:bottom w:val="none" w:sz="0" w:space="0" w:color="3D3D3D"/>
            <w:right w:val="none" w:sz="0" w:space="0" w:color="3D3D3D"/>
          </w:divBdr>
        </w:div>
      </w:divsChild>
    </w:div>
    <w:div w:id="854611079">
      <w:bodyDiv w:val="1"/>
      <w:marLeft w:val="0"/>
      <w:marRight w:val="0"/>
      <w:marTop w:val="0"/>
      <w:marBottom w:val="0"/>
      <w:divBdr>
        <w:top w:val="none" w:sz="0" w:space="0" w:color="auto"/>
        <w:left w:val="none" w:sz="0" w:space="0" w:color="auto"/>
        <w:bottom w:val="none" w:sz="0" w:space="0" w:color="auto"/>
        <w:right w:val="none" w:sz="0" w:space="0" w:color="auto"/>
      </w:divBdr>
      <w:divsChild>
        <w:div w:id="523442059">
          <w:marLeft w:val="0"/>
          <w:marRight w:val="0"/>
          <w:marTop w:val="0"/>
          <w:marBottom w:val="0"/>
          <w:divBdr>
            <w:top w:val="none" w:sz="0" w:space="0" w:color="3D3D3D"/>
            <w:left w:val="none" w:sz="0" w:space="0" w:color="3D3D3D"/>
            <w:bottom w:val="none" w:sz="0" w:space="0" w:color="3D3D3D"/>
            <w:right w:val="none" w:sz="0" w:space="0" w:color="3D3D3D"/>
          </w:divBdr>
        </w:div>
      </w:divsChild>
    </w:div>
    <w:div w:id="925696975">
      <w:bodyDiv w:val="1"/>
      <w:marLeft w:val="0"/>
      <w:marRight w:val="0"/>
      <w:marTop w:val="0"/>
      <w:marBottom w:val="0"/>
      <w:divBdr>
        <w:top w:val="none" w:sz="0" w:space="0" w:color="auto"/>
        <w:left w:val="none" w:sz="0" w:space="0" w:color="auto"/>
        <w:bottom w:val="none" w:sz="0" w:space="0" w:color="auto"/>
        <w:right w:val="none" w:sz="0" w:space="0" w:color="auto"/>
      </w:divBdr>
    </w:div>
    <w:div w:id="936522027">
      <w:bodyDiv w:val="1"/>
      <w:marLeft w:val="0"/>
      <w:marRight w:val="0"/>
      <w:marTop w:val="0"/>
      <w:marBottom w:val="0"/>
      <w:divBdr>
        <w:top w:val="none" w:sz="0" w:space="0" w:color="auto"/>
        <w:left w:val="none" w:sz="0" w:space="0" w:color="auto"/>
        <w:bottom w:val="none" w:sz="0" w:space="0" w:color="auto"/>
        <w:right w:val="none" w:sz="0" w:space="0" w:color="auto"/>
      </w:divBdr>
    </w:div>
    <w:div w:id="944504852">
      <w:bodyDiv w:val="1"/>
      <w:marLeft w:val="0"/>
      <w:marRight w:val="0"/>
      <w:marTop w:val="0"/>
      <w:marBottom w:val="0"/>
      <w:divBdr>
        <w:top w:val="none" w:sz="0" w:space="0" w:color="auto"/>
        <w:left w:val="none" w:sz="0" w:space="0" w:color="auto"/>
        <w:bottom w:val="none" w:sz="0" w:space="0" w:color="auto"/>
        <w:right w:val="none" w:sz="0" w:space="0" w:color="auto"/>
      </w:divBdr>
    </w:div>
    <w:div w:id="1036195328">
      <w:bodyDiv w:val="1"/>
      <w:marLeft w:val="0"/>
      <w:marRight w:val="0"/>
      <w:marTop w:val="0"/>
      <w:marBottom w:val="0"/>
      <w:divBdr>
        <w:top w:val="none" w:sz="0" w:space="0" w:color="auto"/>
        <w:left w:val="none" w:sz="0" w:space="0" w:color="auto"/>
        <w:bottom w:val="none" w:sz="0" w:space="0" w:color="auto"/>
        <w:right w:val="none" w:sz="0" w:space="0" w:color="auto"/>
      </w:divBdr>
      <w:divsChild>
        <w:div w:id="1030836868">
          <w:marLeft w:val="0"/>
          <w:marRight w:val="0"/>
          <w:marTop w:val="0"/>
          <w:marBottom w:val="0"/>
          <w:divBdr>
            <w:top w:val="none" w:sz="0" w:space="0" w:color="auto"/>
            <w:left w:val="none" w:sz="0" w:space="0" w:color="auto"/>
            <w:bottom w:val="none" w:sz="0" w:space="0" w:color="auto"/>
            <w:right w:val="none" w:sz="0" w:space="0" w:color="auto"/>
          </w:divBdr>
        </w:div>
      </w:divsChild>
    </w:div>
    <w:div w:id="1038549135">
      <w:bodyDiv w:val="1"/>
      <w:marLeft w:val="0"/>
      <w:marRight w:val="0"/>
      <w:marTop w:val="0"/>
      <w:marBottom w:val="0"/>
      <w:divBdr>
        <w:top w:val="none" w:sz="0" w:space="0" w:color="auto"/>
        <w:left w:val="none" w:sz="0" w:space="0" w:color="auto"/>
        <w:bottom w:val="none" w:sz="0" w:space="0" w:color="auto"/>
        <w:right w:val="none" w:sz="0" w:space="0" w:color="auto"/>
      </w:divBdr>
    </w:div>
    <w:div w:id="1177380260">
      <w:bodyDiv w:val="1"/>
      <w:marLeft w:val="0"/>
      <w:marRight w:val="0"/>
      <w:marTop w:val="0"/>
      <w:marBottom w:val="0"/>
      <w:divBdr>
        <w:top w:val="none" w:sz="0" w:space="0" w:color="auto"/>
        <w:left w:val="none" w:sz="0" w:space="0" w:color="auto"/>
        <w:bottom w:val="none" w:sz="0" w:space="0" w:color="auto"/>
        <w:right w:val="none" w:sz="0" w:space="0" w:color="auto"/>
      </w:divBdr>
    </w:div>
    <w:div w:id="1183519482">
      <w:bodyDiv w:val="1"/>
      <w:marLeft w:val="0"/>
      <w:marRight w:val="0"/>
      <w:marTop w:val="0"/>
      <w:marBottom w:val="0"/>
      <w:divBdr>
        <w:top w:val="none" w:sz="0" w:space="0" w:color="auto"/>
        <w:left w:val="none" w:sz="0" w:space="0" w:color="auto"/>
        <w:bottom w:val="none" w:sz="0" w:space="0" w:color="auto"/>
        <w:right w:val="none" w:sz="0" w:space="0" w:color="auto"/>
      </w:divBdr>
    </w:div>
    <w:div w:id="1280835641">
      <w:bodyDiv w:val="1"/>
      <w:marLeft w:val="0"/>
      <w:marRight w:val="0"/>
      <w:marTop w:val="0"/>
      <w:marBottom w:val="0"/>
      <w:divBdr>
        <w:top w:val="none" w:sz="0" w:space="0" w:color="auto"/>
        <w:left w:val="none" w:sz="0" w:space="0" w:color="auto"/>
        <w:bottom w:val="none" w:sz="0" w:space="0" w:color="auto"/>
        <w:right w:val="none" w:sz="0" w:space="0" w:color="auto"/>
      </w:divBdr>
    </w:div>
    <w:div w:id="1388215528">
      <w:bodyDiv w:val="1"/>
      <w:marLeft w:val="0"/>
      <w:marRight w:val="0"/>
      <w:marTop w:val="0"/>
      <w:marBottom w:val="0"/>
      <w:divBdr>
        <w:top w:val="none" w:sz="0" w:space="0" w:color="auto"/>
        <w:left w:val="none" w:sz="0" w:space="0" w:color="auto"/>
        <w:bottom w:val="none" w:sz="0" w:space="0" w:color="auto"/>
        <w:right w:val="none" w:sz="0" w:space="0" w:color="auto"/>
      </w:divBdr>
    </w:div>
    <w:div w:id="1394625392">
      <w:bodyDiv w:val="1"/>
      <w:marLeft w:val="0"/>
      <w:marRight w:val="0"/>
      <w:marTop w:val="0"/>
      <w:marBottom w:val="0"/>
      <w:divBdr>
        <w:top w:val="none" w:sz="0" w:space="0" w:color="auto"/>
        <w:left w:val="none" w:sz="0" w:space="0" w:color="auto"/>
        <w:bottom w:val="none" w:sz="0" w:space="0" w:color="auto"/>
        <w:right w:val="none" w:sz="0" w:space="0" w:color="auto"/>
      </w:divBdr>
      <w:divsChild>
        <w:div w:id="1802770729">
          <w:marLeft w:val="0"/>
          <w:marRight w:val="0"/>
          <w:marTop w:val="0"/>
          <w:marBottom w:val="0"/>
          <w:divBdr>
            <w:top w:val="none" w:sz="0" w:space="0" w:color="3D3D3D"/>
            <w:left w:val="none" w:sz="0" w:space="0" w:color="3D3D3D"/>
            <w:bottom w:val="none" w:sz="0" w:space="0" w:color="3D3D3D"/>
            <w:right w:val="none" w:sz="0" w:space="0" w:color="3D3D3D"/>
          </w:divBdr>
        </w:div>
      </w:divsChild>
    </w:div>
    <w:div w:id="1463815047">
      <w:bodyDiv w:val="1"/>
      <w:marLeft w:val="0"/>
      <w:marRight w:val="0"/>
      <w:marTop w:val="0"/>
      <w:marBottom w:val="0"/>
      <w:divBdr>
        <w:top w:val="none" w:sz="0" w:space="0" w:color="auto"/>
        <w:left w:val="none" w:sz="0" w:space="0" w:color="auto"/>
        <w:bottom w:val="none" w:sz="0" w:space="0" w:color="auto"/>
        <w:right w:val="none" w:sz="0" w:space="0" w:color="auto"/>
      </w:divBdr>
    </w:div>
    <w:div w:id="1473643750">
      <w:bodyDiv w:val="1"/>
      <w:marLeft w:val="0"/>
      <w:marRight w:val="0"/>
      <w:marTop w:val="0"/>
      <w:marBottom w:val="0"/>
      <w:divBdr>
        <w:top w:val="none" w:sz="0" w:space="0" w:color="auto"/>
        <w:left w:val="none" w:sz="0" w:space="0" w:color="auto"/>
        <w:bottom w:val="none" w:sz="0" w:space="0" w:color="auto"/>
        <w:right w:val="none" w:sz="0" w:space="0" w:color="auto"/>
      </w:divBdr>
    </w:div>
    <w:div w:id="1476993110">
      <w:bodyDiv w:val="1"/>
      <w:marLeft w:val="0"/>
      <w:marRight w:val="0"/>
      <w:marTop w:val="0"/>
      <w:marBottom w:val="0"/>
      <w:divBdr>
        <w:top w:val="none" w:sz="0" w:space="0" w:color="auto"/>
        <w:left w:val="none" w:sz="0" w:space="0" w:color="auto"/>
        <w:bottom w:val="none" w:sz="0" w:space="0" w:color="auto"/>
        <w:right w:val="none" w:sz="0" w:space="0" w:color="auto"/>
      </w:divBdr>
      <w:divsChild>
        <w:div w:id="2024356263">
          <w:marLeft w:val="0"/>
          <w:marRight w:val="0"/>
          <w:marTop w:val="0"/>
          <w:marBottom w:val="0"/>
          <w:divBdr>
            <w:top w:val="none" w:sz="0" w:space="0" w:color="3D3D3D"/>
            <w:left w:val="none" w:sz="0" w:space="0" w:color="3D3D3D"/>
            <w:bottom w:val="none" w:sz="0" w:space="0" w:color="3D3D3D"/>
            <w:right w:val="none" w:sz="0" w:space="0" w:color="3D3D3D"/>
          </w:divBdr>
        </w:div>
      </w:divsChild>
    </w:div>
    <w:div w:id="1492796122">
      <w:bodyDiv w:val="1"/>
      <w:marLeft w:val="0"/>
      <w:marRight w:val="0"/>
      <w:marTop w:val="0"/>
      <w:marBottom w:val="0"/>
      <w:divBdr>
        <w:top w:val="none" w:sz="0" w:space="0" w:color="auto"/>
        <w:left w:val="none" w:sz="0" w:space="0" w:color="auto"/>
        <w:bottom w:val="none" w:sz="0" w:space="0" w:color="auto"/>
        <w:right w:val="none" w:sz="0" w:space="0" w:color="auto"/>
      </w:divBdr>
    </w:div>
    <w:div w:id="1504079303">
      <w:bodyDiv w:val="1"/>
      <w:marLeft w:val="0"/>
      <w:marRight w:val="0"/>
      <w:marTop w:val="0"/>
      <w:marBottom w:val="0"/>
      <w:divBdr>
        <w:top w:val="none" w:sz="0" w:space="0" w:color="auto"/>
        <w:left w:val="none" w:sz="0" w:space="0" w:color="auto"/>
        <w:bottom w:val="none" w:sz="0" w:space="0" w:color="auto"/>
        <w:right w:val="none" w:sz="0" w:space="0" w:color="auto"/>
      </w:divBdr>
    </w:div>
    <w:div w:id="1582904888">
      <w:bodyDiv w:val="1"/>
      <w:marLeft w:val="0"/>
      <w:marRight w:val="0"/>
      <w:marTop w:val="0"/>
      <w:marBottom w:val="0"/>
      <w:divBdr>
        <w:top w:val="none" w:sz="0" w:space="0" w:color="auto"/>
        <w:left w:val="none" w:sz="0" w:space="0" w:color="auto"/>
        <w:bottom w:val="none" w:sz="0" w:space="0" w:color="auto"/>
        <w:right w:val="none" w:sz="0" w:space="0" w:color="auto"/>
      </w:divBdr>
      <w:divsChild>
        <w:div w:id="1082793581">
          <w:marLeft w:val="0"/>
          <w:marRight w:val="0"/>
          <w:marTop w:val="0"/>
          <w:marBottom w:val="0"/>
          <w:divBdr>
            <w:top w:val="none" w:sz="0" w:space="0" w:color="auto"/>
            <w:left w:val="none" w:sz="0" w:space="0" w:color="auto"/>
            <w:bottom w:val="none" w:sz="0" w:space="0" w:color="auto"/>
            <w:right w:val="none" w:sz="0" w:space="0" w:color="auto"/>
          </w:divBdr>
          <w:divsChild>
            <w:div w:id="724304851">
              <w:marLeft w:val="0"/>
              <w:marRight w:val="0"/>
              <w:marTop w:val="0"/>
              <w:marBottom w:val="0"/>
              <w:divBdr>
                <w:top w:val="none" w:sz="0" w:space="0" w:color="auto"/>
                <w:left w:val="none" w:sz="0" w:space="0" w:color="auto"/>
                <w:bottom w:val="none" w:sz="0" w:space="0" w:color="auto"/>
                <w:right w:val="none" w:sz="0" w:space="0" w:color="auto"/>
              </w:divBdr>
              <w:divsChild>
                <w:div w:id="935285130">
                  <w:marLeft w:val="0"/>
                  <w:marRight w:val="0"/>
                  <w:marTop w:val="0"/>
                  <w:marBottom w:val="0"/>
                  <w:divBdr>
                    <w:top w:val="none" w:sz="0" w:space="0" w:color="auto"/>
                    <w:left w:val="none" w:sz="0" w:space="0" w:color="auto"/>
                    <w:bottom w:val="none" w:sz="0" w:space="0" w:color="auto"/>
                    <w:right w:val="none" w:sz="0" w:space="0" w:color="auto"/>
                  </w:divBdr>
                  <w:divsChild>
                    <w:div w:id="404031360">
                      <w:marLeft w:val="0"/>
                      <w:marRight w:val="0"/>
                      <w:marTop w:val="0"/>
                      <w:marBottom w:val="0"/>
                      <w:divBdr>
                        <w:top w:val="none" w:sz="0" w:space="0" w:color="auto"/>
                        <w:left w:val="none" w:sz="0" w:space="0" w:color="auto"/>
                        <w:bottom w:val="none" w:sz="0" w:space="0" w:color="auto"/>
                        <w:right w:val="none" w:sz="0" w:space="0" w:color="auto"/>
                      </w:divBdr>
                      <w:divsChild>
                        <w:div w:id="374163034">
                          <w:marLeft w:val="0"/>
                          <w:marRight w:val="0"/>
                          <w:marTop w:val="0"/>
                          <w:marBottom w:val="0"/>
                          <w:divBdr>
                            <w:top w:val="none" w:sz="0" w:space="0" w:color="auto"/>
                            <w:left w:val="none" w:sz="0" w:space="0" w:color="auto"/>
                            <w:bottom w:val="none" w:sz="0" w:space="0" w:color="auto"/>
                            <w:right w:val="none" w:sz="0" w:space="0" w:color="auto"/>
                          </w:divBdr>
                          <w:divsChild>
                            <w:div w:id="1179078152">
                              <w:marLeft w:val="0"/>
                              <w:marRight w:val="0"/>
                              <w:marTop w:val="0"/>
                              <w:marBottom w:val="0"/>
                              <w:divBdr>
                                <w:top w:val="none" w:sz="0" w:space="0" w:color="auto"/>
                                <w:left w:val="none" w:sz="0" w:space="0" w:color="auto"/>
                                <w:bottom w:val="none" w:sz="0" w:space="0" w:color="auto"/>
                                <w:right w:val="none" w:sz="0" w:space="0" w:color="auto"/>
                              </w:divBdr>
                              <w:divsChild>
                                <w:div w:id="163668540">
                                  <w:marLeft w:val="0"/>
                                  <w:marRight w:val="0"/>
                                  <w:marTop w:val="0"/>
                                  <w:marBottom w:val="0"/>
                                  <w:divBdr>
                                    <w:top w:val="none" w:sz="0" w:space="0" w:color="auto"/>
                                    <w:left w:val="none" w:sz="0" w:space="0" w:color="auto"/>
                                    <w:bottom w:val="none" w:sz="0" w:space="0" w:color="auto"/>
                                    <w:right w:val="none" w:sz="0" w:space="0" w:color="auto"/>
                                  </w:divBdr>
                                  <w:divsChild>
                                    <w:div w:id="2083749777">
                                      <w:marLeft w:val="0"/>
                                      <w:marRight w:val="0"/>
                                      <w:marTop w:val="0"/>
                                      <w:marBottom w:val="0"/>
                                      <w:divBdr>
                                        <w:top w:val="none" w:sz="0" w:space="0" w:color="auto"/>
                                        <w:left w:val="none" w:sz="0" w:space="0" w:color="auto"/>
                                        <w:bottom w:val="none" w:sz="0" w:space="0" w:color="auto"/>
                                        <w:right w:val="none" w:sz="0" w:space="0" w:color="auto"/>
                                      </w:divBdr>
                                      <w:divsChild>
                                        <w:div w:id="1277524927">
                                          <w:marLeft w:val="0"/>
                                          <w:marRight w:val="0"/>
                                          <w:marTop w:val="0"/>
                                          <w:marBottom w:val="0"/>
                                          <w:divBdr>
                                            <w:top w:val="none" w:sz="0" w:space="0" w:color="auto"/>
                                            <w:left w:val="none" w:sz="0" w:space="0" w:color="auto"/>
                                            <w:bottom w:val="none" w:sz="0" w:space="0" w:color="auto"/>
                                            <w:right w:val="none" w:sz="0" w:space="0" w:color="auto"/>
                                          </w:divBdr>
                                          <w:divsChild>
                                            <w:div w:id="383722430">
                                              <w:marLeft w:val="0"/>
                                              <w:marRight w:val="0"/>
                                              <w:marTop w:val="0"/>
                                              <w:marBottom w:val="0"/>
                                              <w:divBdr>
                                                <w:top w:val="none" w:sz="0" w:space="0" w:color="auto"/>
                                                <w:left w:val="none" w:sz="0" w:space="0" w:color="auto"/>
                                                <w:bottom w:val="none" w:sz="0" w:space="0" w:color="auto"/>
                                                <w:right w:val="none" w:sz="0" w:space="0" w:color="auto"/>
                                              </w:divBdr>
                                              <w:divsChild>
                                                <w:div w:id="693381864">
                                                  <w:marLeft w:val="0"/>
                                                  <w:marRight w:val="0"/>
                                                  <w:marTop w:val="0"/>
                                                  <w:marBottom w:val="0"/>
                                                  <w:divBdr>
                                                    <w:top w:val="none" w:sz="0" w:space="0" w:color="auto"/>
                                                    <w:left w:val="none" w:sz="0" w:space="0" w:color="auto"/>
                                                    <w:bottom w:val="none" w:sz="0" w:space="0" w:color="auto"/>
                                                    <w:right w:val="none" w:sz="0" w:space="0" w:color="auto"/>
                                                  </w:divBdr>
                                                  <w:divsChild>
                                                    <w:div w:id="843400141">
                                                      <w:marLeft w:val="0"/>
                                                      <w:marRight w:val="0"/>
                                                      <w:marTop w:val="0"/>
                                                      <w:marBottom w:val="0"/>
                                                      <w:divBdr>
                                                        <w:top w:val="none" w:sz="0" w:space="0" w:color="auto"/>
                                                        <w:left w:val="none" w:sz="0" w:space="0" w:color="auto"/>
                                                        <w:bottom w:val="none" w:sz="0" w:space="0" w:color="auto"/>
                                                        <w:right w:val="none" w:sz="0" w:space="0" w:color="auto"/>
                                                      </w:divBdr>
                                                      <w:divsChild>
                                                        <w:div w:id="6941865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466744">
          <w:marLeft w:val="0"/>
          <w:marRight w:val="0"/>
          <w:marTop w:val="0"/>
          <w:marBottom w:val="0"/>
          <w:divBdr>
            <w:top w:val="none" w:sz="0" w:space="0" w:color="auto"/>
            <w:left w:val="none" w:sz="0" w:space="0" w:color="auto"/>
            <w:bottom w:val="none" w:sz="0" w:space="0" w:color="auto"/>
            <w:right w:val="none" w:sz="0" w:space="0" w:color="auto"/>
          </w:divBdr>
          <w:divsChild>
            <w:div w:id="1323120253">
              <w:marLeft w:val="0"/>
              <w:marRight w:val="0"/>
              <w:marTop w:val="0"/>
              <w:marBottom w:val="0"/>
              <w:divBdr>
                <w:top w:val="none" w:sz="0" w:space="0" w:color="auto"/>
                <w:left w:val="none" w:sz="0" w:space="0" w:color="auto"/>
                <w:bottom w:val="none" w:sz="0" w:space="0" w:color="auto"/>
                <w:right w:val="none" w:sz="0" w:space="0" w:color="auto"/>
              </w:divBdr>
              <w:divsChild>
                <w:div w:id="3628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
    <w:div w:id="1860777392">
      <w:bodyDiv w:val="1"/>
      <w:marLeft w:val="0"/>
      <w:marRight w:val="0"/>
      <w:marTop w:val="0"/>
      <w:marBottom w:val="0"/>
      <w:divBdr>
        <w:top w:val="none" w:sz="0" w:space="0" w:color="auto"/>
        <w:left w:val="none" w:sz="0" w:space="0" w:color="auto"/>
        <w:bottom w:val="none" w:sz="0" w:space="0" w:color="auto"/>
        <w:right w:val="none" w:sz="0" w:space="0" w:color="auto"/>
      </w:divBdr>
    </w:div>
    <w:div w:id="1914586010">
      <w:bodyDiv w:val="1"/>
      <w:marLeft w:val="0"/>
      <w:marRight w:val="0"/>
      <w:marTop w:val="0"/>
      <w:marBottom w:val="0"/>
      <w:divBdr>
        <w:top w:val="none" w:sz="0" w:space="0" w:color="auto"/>
        <w:left w:val="none" w:sz="0" w:space="0" w:color="auto"/>
        <w:bottom w:val="none" w:sz="0" w:space="0" w:color="auto"/>
        <w:right w:val="none" w:sz="0" w:space="0" w:color="auto"/>
      </w:divBdr>
    </w:div>
    <w:div w:id="1951356810">
      <w:bodyDiv w:val="1"/>
      <w:marLeft w:val="0"/>
      <w:marRight w:val="0"/>
      <w:marTop w:val="0"/>
      <w:marBottom w:val="0"/>
      <w:divBdr>
        <w:top w:val="none" w:sz="0" w:space="0" w:color="auto"/>
        <w:left w:val="none" w:sz="0" w:space="0" w:color="auto"/>
        <w:bottom w:val="none" w:sz="0" w:space="0" w:color="auto"/>
        <w:right w:val="none" w:sz="0" w:space="0" w:color="auto"/>
      </w:divBdr>
      <w:divsChild>
        <w:div w:id="767971780">
          <w:marLeft w:val="0"/>
          <w:marRight w:val="0"/>
          <w:marTop w:val="0"/>
          <w:marBottom w:val="0"/>
          <w:divBdr>
            <w:top w:val="none" w:sz="0" w:space="0" w:color="auto"/>
            <w:left w:val="none" w:sz="0" w:space="0" w:color="auto"/>
            <w:bottom w:val="none" w:sz="0" w:space="0" w:color="auto"/>
            <w:right w:val="none" w:sz="0" w:space="0" w:color="auto"/>
          </w:divBdr>
        </w:div>
      </w:divsChild>
    </w:div>
    <w:div w:id="1975451672">
      <w:bodyDiv w:val="1"/>
      <w:marLeft w:val="0"/>
      <w:marRight w:val="0"/>
      <w:marTop w:val="0"/>
      <w:marBottom w:val="0"/>
      <w:divBdr>
        <w:top w:val="none" w:sz="0" w:space="0" w:color="auto"/>
        <w:left w:val="none" w:sz="0" w:space="0" w:color="auto"/>
        <w:bottom w:val="none" w:sz="0" w:space="0" w:color="auto"/>
        <w:right w:val="none" w:sz="0" w:space="0" w:color="auto"/>
      </w:divBdr>
    </w:div>
    <w:div w:id="1994023592">
      <w:bodyDiv w:val="1"/>
      <w:marLeft w:val="0"/>
      <w:marRight w:val="0"/>
      <w:marTop w:val="0"/>
      <w:marBottom w:val="0"/>
      <w:divBdr>
        <w:top w:val="none" w:sz="0" w:space="0" w:color="auto"/>
        <w:left w:val="none" w:sz="0" w:space="0" w:color="auto"/>
        <w:bottom w:val="none" w:sz="0" w:space="0" w:color="auto"/>
        <w:right w:val="none" w:sz="0" w:space="0" w:color="auto"/>
      </w:divBdr>
    </w:div>
    <w:div w:id="2020153582">
      <w:bodyDiv w:val="1"/>
      <w:marLeft w:val="0"/>
      <w:marRight w:val="0"/>
      <w:marTop w:val="0"/>
      <w:marBottom w:val="0"/>
      <w:divBdr>
        <w:top w:val="none" w:sz="0" w:space="0" w:color="auto"/>
        <w:left w:val="none" w:sz="0" w:space="0" w:color="auto"/>
        <w:bottom w:val="none" w:sz="0" w:space="0" w:color="auto"/>
        <w:right w:val="none" w:sz="0" w:space="0" w:color="auto"/>
      </w:divBdr>
      <w:divsChild>
        <w:div w:id="928150749">
          <w:marLeft w:val="0"/>
          <w:marRight w:val="0"/>
          <w:marTop w:val="0"/>
          <w:marBottom w:val="0"/>
          <w:divBdr>
            <w:top w:val="none" w:sz="0" w:space="0" w:color="auto"/>
            <w:left w:val="none" w:sz="0" w:space="0" w:color="auto"/>
            <w:bottom w:val="none" w:sz="0" w:space="0" w:color="auto"/>
            <w:right w:val="none" w:sz="0" w:space="0" w:color="auto"/>
          </w:divBdr>
        </w:div>
      </w:divsChild>
    </w:div>
    <w:div w:id="2127003454">
      <w:bodyDiv w:val="1"/>
      <w:marLeft w:val="0"/>
      <w:marRight w:val="0"/>
      <w:marTop w:val="0"/>
      <w:marBottom w:val="0"/>
      <w:divBdr>
        <w:top w:val="none" w:sz="0" w:space="0" w:color="auto"/>
        <w:left w:val="none" w:sz="0" w:space="0" w:color="auto"/>
        <w:bottom w:val="none" w:sz="0" w:space="0" w:color="auto"/>
        <w:right w:val="none" w:sz="0" w:space="0" w:color="auto"/>
      </w:divBdr>
    </w:div>
    <w:div w:id="212966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61229-58B9-4A4A-B824-C12C51488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28</Pages>
  <Words>7159</Words>
  <Characters>40812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Lider Restrepo</dc:creator>
  <cp:keywords/>
  <dc:description/>
  <cp:lastModifiedBy>Tina Pinedo</cp:lastModifiedBy>
  <cp:revision>8</cp:revision>
  <cp:lastPrinted>2024-12-20T22:43:00Z</cp:lastPrinted>
  <dcterms:created xsi:type="dcterms:W3CDTF">2025-01-06T19:06:00Z</dcterms:created>
  <dcterms:modified xsi:type="dcterms:W3CDTF">2025-01-06T19:50:00Z</dcterms:modified>
</cp:coreProperties>
</file>