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DFEC" w14:textId="3D323D14" w:rsidR="003A2B57" w:rsidRPr="0079263E" w:rsidRDefault="001B323A" w:rsidP="0079263E">
      <w:pPr>
        <w:pStyle w:val="Title"/>
        <w:spacing w:after="240" w:line="240" w:lineRule="auto"/>
        <w:rPr>
          <w:sz w:val="32"/>
          <w:szCs w:val="32"/>
        </w:rPr>
      </w:pPr>
      <w:r>
        <w:rPr>
          <w:sz w:val="32"/>
          <w:szCs w:val="32"/>
        </w:rPr>
        <w:br/>
      </w:r>
      <w:r w:rsidR="22BF0062" w:rsidRPr="0079263E">
        <w:rPr>
          <w:sz w:val="32"/>
          <w:szCs w:val="32"/>
        </w:rPr>
        <w:t xml:space="preserve">Update on the </w:t>
      </w:r>
      <w:r w:rsidR="22BF0062" w:rsidRPr="0079263E">
        <w:rPr>
          <w:i/>
          <w:iCs/>
          <w:sz w:val="32"/>
          <w:szCs w:val="32"/>
        </w:rPr>
        <w:t xml:space="preserve">Texas v. </w:t>
      </w:r>
      <w:r w:rsidR="003A2B57" w:rsidRPr="0079263E">
        <w:rPr>
          <w:i/>
          <w:iCs/>
          <w:sz w:val="32"/>
          <w:szCs w:val="32"/>
        </w:rPr>
        <w:t>Kennedy</w:t>
      </w:r>
      <w:r w:rsidR="22BF0062" w:rsidRPr="0079263E">
        <w:rPr>
          <w:sz w:val="32"/>
          <w:szCs w:val="32"/>
        </w:rPr>
        <w:t xml:space="preserve"> </w:t>
      </w:r>
      <w:r w:rsidR="00773D6A" w:rsidRPr="0079263E">
        <w:rPr>
          <w:sz w:val="32"/>
          <w:szCs w:val="32"/>
        </w:rPr>
        <w:t>Lawsuit</w:t>
      </w:r>
      <w:r w:rsidR="0079263E" w:rsidRPr="0079263E">
        <w:rPr>
          <w:sz w:val="32"/>
          <w:szCs w:val="32"/>
        </w:rPr>
        <w:br/>
      </w:r>
      <w:r w:rsidR="003A2B57" w:rsidRPr="0079263E">
        <w:rPr>
          <w:sz w:val="32"/>
          <w:szCs w:val="32"/>
        </w:rPr>
        <w:t xml:space="preserve">(previously </w:t>
      </w:r>
      <w:r w:rsidR="003A2B57" w:rsidRPr="0079263E">
        <w:rPr>
          <w:i/>
          <w:sz w:val="32"/>
          <w:szCs w:val="32"/>
        </w:rPr>
        <w:t>Texas v. Becerra</w:t>
      </w:r>
      <w:r w:rsidR="003A2B57" w:rsidRPr="0079263E">
        <w:rPr>
          <w:sz w:val="32"/>
          <w:szCs w:val="32"/>
        </w:rPr>
        <w:t xml:space="preserve">) </w:t>
      </w:r>
    </w:p>
    <w:p w14:paraId="0F44F129" w14:textId="6E652EB7" w:rsidR="00FC50BF" w:rsidRPr="00AC103B" w:rsidRDefault="00AC103B" w:rsidP="00AC103B">
      <w:pPr>
        <w:shd w:val="clear" w:color="auto" w:fill="FFFFFF" w:themeFill="background1"/>
        <w:spacing w:after="240" w:line="240" w:lineRule="auto"/>
        <w:rPr>
          <w:rFonts w:ascii="Arial" w:eastAsia="Times New Roman" w:hAnsi="Arial" w:cs="Arial"/>
          <w:color w:val="000000" w:themeColor="text1"/>
        </w:rPr>
      </w:pPr>
      <w:r>
        <w:rPr>
          <w:rFonts w:ascii="Arial" w:eastAsia="Times New Roman" w:hAnsi="Arial" w:cs="Arial"/>
          <w:color w:val="000000" w:themeColor="text1"/>
        </w:rPr>
        <w:br/>
      </w:r>
      <w:r w:rsidR="00FC50BF" w:rsidRPr="00AC103B">
        <w:rPr>
          <w:rFonts w:ascii="Arial" w:eastAsia="Times New Roman" w:hAnsi="Arial" w:cs="Arial"/>
          <w:color w:val="000000" w:themeColor="text1"/>
        </w:rPr>
        <w:t xml:space="preserve">This explainer gives updates about </w:t>
      </w:r>
      <w:r w:rsidR="00FC50BF" w:rsidRPr="00AC103B">
        <w:rPr>
          <w:rFonts w:ascii="Arial" w:eastAsia="Times New Roman" w:hAnsi="Arial" w:cs="Arial"/>
          <w:i/>
          <w:iCs/>
          <w:color w:val="000000" w:themeColor="text1"/>
        </w:rPr>
        <w:t>Texas v. Kennedy</w:t>
      </w:r>
      <w:r w:rsidR="00FC50BF" w:rsidRPr="00AC103B">
        <w:rPr>
          <w:rFonts w:ascii="Arial" w:eastAsia="Times New Roman" w:hAnsi="Arial" w:cs="Arial"/>
          <w:color w:val="000000" w:themeColor="text1"/>
        </w:rPr>
        <w:t>.</w:t>
      </w:r>
    </w:p>
    <w:p w14:paraId="7289F738" w14:textId="619A1F4A" w:rsidR="00FC50BF" w:rsidRPr="00AC103B" w:rsidRDefault="00FC50BF" w:rsidP="00AC103B">
      <w:pPr>
        <w:shd w:val="clear" w:color="auto" w:fill="FFFFFF" w:themeFill="background1"/>
        <w:spacing w:after="240" w:line="240" w:lineRule="auto"/>
        <w:rPr>
          <w:rFonts w:ascii="Arial" w:eastAsia="Times New Roman" w:hAnsi="Arial" w:cs="Arial"/>
          <w:color w:val="000000"/>
        </w:rPr>
      </w:pPr>
      <w:r w:rsidRPr="00AC103B">
        <w:rPr>
          <w:rFonts w:ascii="Arial" w:eastAsia="Times New Roman" w:hAnsi="Arial" w:cs="Arial"/>
          <w:i/>
          <w:iCs/>
          <w:color w:val="000000" w:themeColor="text1"/>
        </w:rPr>
        <w:t>Texas v. Kennedy</w:t>
      </w:r>
      <w:r w:rsidRPr="00AC103B">
        <w:rPr>
          <w:rFonts w:ascii="Arial" w:eastAsia="Times New Roman" w:hAnsi="Arial" w:cs="Arial"/>
          <w:color w:val="000000" w:themeColor="text1"/>
        </w:rPr>
        <w:t xml:space="preserve"> is a lawsuit brought by 17 states in federal court in the Northern District of Texas. The lawsuit challenges 2024 regulations from the U.S. Department of Health and Human Services (HHS). The lawsuit claims that Section 504 of the Rehabilitation Act is unconstitutional. This explainer updates </w:t>
      </w:r>
      <w:hyperlink r:id="rId11">
        <w:r w:rsidRPr="00AC103B">
          <w:rPr>
            <w:rStyle w:val="Hyperlink"/>
            <w:rFonts w:ascii="Arial" w:eastAsia="Times New Roman" w:hAnsi="Arial" w:cs="Arial"/>
          </w:rPr>
          <w:t>our February 21, 2025, explainer</w:t>
        </w:r>
      </w:hyperlink>
      <w:r w:rsidRPr="00AC103B">
        <w:rPr>
          <w:rFonts w:ascii="Arial" w:eastAsia="Times New Roman" w:hAnsi="Arial" w:cs="Arial"/>
          <w:color w:val="000000" w:themeColor="text1"/>
        </w:rPr>
        <w:t>.</w:t>
      </w:r>
    </w:p>
    <w:p w14:paraId="303F3D43" w14:textId="791F8C4B" w:rsidR="00FC50BF" w:rsidRPr="00AC103B" w:rsidRDefault="00FC50BF" w:rsidP="00AC103B">
      <w:pPr>
        <w:pStyle w:val="Heading2"/>
      </w:pPr>
      <w:r w:rsidRPr="00AC103B">
        <w:t>Background</w:t>
      </w:r>
    </w:p>
    <w:p w14:paraId="6ACD27D3" w14:textId="05E1AC8D" w:rsidR="00FC50BF" w:rsidRPr="00AC103B" w:rsidRDefault="00FC50BF" w:rsidP="00AC103B">
      <w:pPr>
        <w:shd w:val="clear" w:color="auto" w:fill="FFFFFF" w:themeFill="background1"/>
        <w:spacing w:after="240" w:line="240" w:lineRule="auto"/>
        <w:rPr>
          <w:rFonts w:ascii="Arial" w:eastAsia="Times New Roman" w:hAnsi="Arial" w:cs="Arial"/>
          <w:color w:val="000000"/>
        </w:rPr>
      </w:pPr>
      <w:r w:rsidRPr="00AC103B">
        <w:rPr>
          <w:rFonts w:ascii="Arial" w:eastAsia="Times New Roman" w:hAnsi="Arial" w:cs="Arial"/>
          <w:color w:val="000000" w:themeColor="text1"/>
        </w:rPr>
        <w:t xml:space="preserve">Section 504 prohibits disability discrimination. It covers the federal government and those who get federal dollars. HHS updated its Section 504 regulations in May 2024. These regulations were last updated 50 years ago. The 2024 regulations make important updates. Covered entities may not discriminate in medical treatment or child welfare. They must provide accessible websites and medical equipment. As before, states must provide services in the community. They may not segregate or institutionalize disabled people who can live in the community with supports. </w:t>
      </w:r>
    </w:p>
    <w:p w14:paraId="7FA2372C" w14:textId="57A8E839" w:rsidR="00FC50BF" w:rsidRPr="00AC103B" w:rsidRDefault="00FC50BF" w:rsidP="00AC103B">
      <w:pPr>
        <w:shd w:val="clear" w:color="auto" w:fill="FFFFFF"/>
        <w:spacing w:after="240" w:line="240" w:lineRule="auto"/>
        <w:rPr>
          <w:rFonts w:ascii="Arial" w:eastAsia="Times New Roman" w:hAnsi="Arial" w:cs="Arial"/>
          <w:color w:val="000000"/>
        </w:rPr>
      </w:pPr>
      <w:r w:rsidRPr="00AC103B">
        <w:rPr>
          <w:rFonts w:ascii="Arial" w:eastAsia="Times New Roman" w:hAnsi="Arial" w:cs="Arial"/>
          <w:color w:val="000000"/>
        </w:rPr>
        <w:t xml:space="preserve">The </w:t>
      </w:r>
      <w:hyperlink r:id="rId12" w:history="1">
        <w:r w:rsidRPr="00AC103B">
          <w:rPr>
            <w:rStyle w:val="Hyperlink"/>
            <w:rFonts w:ascii="Arial" w:eastAsia="Times New Roman" w:hAnsi="Arial" w:cs="Arial"/>
          </w:rPr>
          <w:t>preamble to the updated regulations</w:t>
        </w:r>
      </w:hyperlink>
      <w:r w:rsidRPr="00AC103B">
        <w:rPr>
          <w:rFonts w:ascii="Arial" w:eastAsia="Times New Roman" w:hAnsi="Arial" w:cs="Arial"/>
          <w:color w:val="000000"/>
        </w:rPr>
        <w:t xml:space="preserve"> discussed a case about a transgender person with gender dysphoria. HHS agreed at that time that transgender people with gender dysphoria may have a disability under Section 504. </w:t>
      </w:r>
    </w:p>
    <w:p w14:paraId="5BA08B6C" w14:textId="5BE5DFA7" w:rsidR="00FC50BF" w:rsidRPr="00AC103B" w:rsidRDefault="00FC50BF" w:rsidP="00AC103B">
      <w:pPr>
        <w:shd w:val="clear" w:color="auto" w:fill="FFFFFF" w:themeFill="background1"/>
        <w:spacing w:after="240" w:line="240" w:lineRule="auto"/>
        <w:rPr>
          <w:rFonts w:ascii="Arial" w:eastAsia="Times New Roman" w:hAnsi="Arial" w:cs="Arial"/>
          <w:color w:val="000000"/>
        </w:rPr>
      </w:pPr>
      <w:r w:rsidRPr="00AC103B">
        <w:rPr>
          <w:rFonts w:ascii="Arial" w:eastAsia="Times New Roman" w:hAnsi="Arial" w:cs="Arial"/>
          <w:color w:val="000000" w:themeColor="text1"/>
        </w:rPr>
        <w:t xml:space="preserve">The complaint filed by the 17 states (Texas, Alaska, Alabama, Arkansas, Florida, Georgia, Indiana, Iowa, Kansas, Louisiana, Missouri, Montana, Nebraska, South Carolina, South Dakota, Utah, and West Virginia) challenges the updated regulations. The states complain about the discussion of gender dysphoria in the preamble. They complain about the regulation on integration. The complaint asks the court to strike down the updated Section 504 regulations. It asks the court to rule that Section 504 is unconstitutional. </w:t>
      </w:r>
      <w:r w:rsidR="00750503" w:rsidRPr="00AC103B">
        <w:rPr>
          <w:rFonts w:ascii="Arial" w:eastAsia="Times New Roman" w:hAnsi="Arial" w:cs="Arial"/>
          <w:color w:val="000000" w:themeColor="text1"/>
        </w:rPr>
        <w:t xml:space="preserve">This would have a devastating impact on people with disabilities who routinely face discrimination. </w:t>
      </w:r>
    </w:p>
    <w:p w14:paraId="0C390CE3" w14:textId="1CC1F38B" w:rsidR="00DC1EAD" w:rsidRPr="00AC103B" w:rsidRDefault="00FC50BF" w:rsidP="00AC103B">
      <w:pPr>
        <w:shd w:val="clear" w:color="auto" w:fill="FFFFFF"/>
        <w:spacing w:after="240" w:line="240" w:lineRule="auto"/>
        <w:rPr>
          <w:rFonts w:ascii="Arial" w:eastAsia="Times New Roman" w:hAnsi="Arial" w:cs="Arial"/>
          <w:color w:val="000000"/>
        </w:rPr>
      </w:pPr>
      <w:r w:rsidRPr="00AC103B">
        <w:rPr>
          <w:rFonts w:ascii="Arial" w:eastAsia="Times New Roman" w:hAnsi="Arial" w:cs="Arial"/>
          <w:color w:val="000000"/>
        </w:rPr>
        <w:t xml:space="preserve">Right now, the case is “stayed,” meaning it is on pause. See DREDF’s </w:t>
      </w:r>
      <w:hyperlink r:id="rId13" w:history="1">
        <w:r w:rsidR="000F6656" w:rsidRPr="00AC103B">
          <w:rPr>
            <w:rStyle w:val="Hyperlink"/>
            <w:rFonts w:ascii="Arial" w:eastAsia="Times New Roman" w:hAnsi="Arial" w:cs="Arial"/>
          </w:rPr>
          <w:t>Protect S</w:t>
        </w:r>
        <w:r w:rsidRPr="00AC103B">
          <w:rPr>
            <w:rStyle w:val="Hyperlink"/>
            <w:rFonts w:ascii="Arial" w:eastAsia="Times New Roman" w:hAnsi="Arial" w:cs="Arial"/>
          </w:rPr>
          <w:t>ection 504 webpage</w:t>
        </w:r>
      </w:hyperlink>
      <w:r w:rsidRPr="00AC103B">
        <w:rPr>
          <w:rFonts w:ascii="Arial" w:eastAsia="Times New Roman" w:hAnsi="Arial" w:cs="Arial"/>
          <w:color w:val="000000"/>
        </w:rPr>
        <w:t xml:space="preserve"> for more information.</w:t>
      </w:r>
    </w:p>
    <w:p w14:paraId="4B13CD06" w14:textId="17347B7D" w:rsidR="00FC50BF" w:rsidRPr="00AC103B" w:rsidRDefault="00FC50BF" w:rsidP="00AC103B">
      <w:pPr>
        <w:pStyle w:val="Heading2"/>
      </w:pPr>
      <w:r w:rsidRPr="00AC103B">
        <w:t xml:space="preserve">April 11 Report: States Abandon Claim that Section 504 is Unconstitutional </w:t>
      </w:r>
    </w:p>
    <w:p w14:paraId="7B8B7C57" w14:textId="3611FE8B" w:rsidR="00FC50BF" w:rsidRPr="00AC103B" w:rsidRDefault="00FC50BF" w:rsidP="00AC103B">
      <w:pPr>
        <w:shd w:val="clear" w:color="auto" w:fill="FFFFFF"/>
        <w:spacing w:after="240" w:line="240" w:lineRule="auto"/>
        <w:rPr>
          <w:rFonts w:ascii="Arial" w:eastAsia="Times New Roman" w:hAnsi="Arial" w:cs="Arial"/>
          <w:color w:val="000000"/>
        </w:rPr>
      </w:pPr>
      <w:r w:rsidRPr="00AC103B">
        <w:rPr>
          <w:rFonts w:ascii="Arial" w:eastAsia="Times New Roman" w:hAnsi="Arial" w:cs="Arial"/>
          <w:color w:val="000000"/>
        </w:rPr>
        <w:t xml:space="preserve">On April 11, 2025, the 17 states and HHS filed </w:t>
      </w:r>
      <w:hyperlink r:id="rId14" w:history="1">
        <w:r w:rsidRPr="00416848">
          <w:rPr>
            <w:rStyle w:val="Hyperlink"/>
            <w:rFonts w:ascii="Arial" w:eastAsia="Times New Roman" w:hAnsi="Arial" w:cs="Arial"/>
          </w:rPr>
          <w:t>a Joint Status Report</w:t>
        </w:r>
      </w:hyperlink>
      <w:r w:rsidRPr="00AC103B">
        <w:rPr>
          <w:rFonts w:ascii="Arial" w:eastAsia="Times New Roman" w:hAnsi="Arial" w:cs="Arial"/>
          <w:color w:val="000000"/>
        </w:rPr>
        <w:t xml:space="preserve"> asking the court to continue the pause in the case. </w:t>
      </w:r>
      <w:r w:rsidRPr="00AC103B">
        <w:rPr>
          <w:rFonts w:ascii="Arial" w:eastAsia="Times New Roman" w:hAnsi="Arial" w:cs="Arial"/>
          <w:b/>
          <w:bCs/>
          <w:color w:val="000000"/>
        </w:rPr>
        <w:t>The states said they are no longer challenging the constitutionality of Section 504 of the Rehabilitation Act.</w:t>
      </w:r>
      <w:r w:rsidRPr="00AC103B">
        <w:rPr>
          <w:rFonts w:ascii="Arial" w:eastAsia="Times New Roman" w:hAnsi="Arial" w:cs="Arial"/>
          <w:color w:val="000000"/>
        </w:rPr>
        <w:t xml:space="preserve"> This concession shows the power of the disability community’s advocacy. The report says:</w:t>
      </w:r>
    </w:p>
    <w:p w14:paraId="50D94E6E" w14:textId="67739DA6" w:rsidR="00FC50BF" w:rsidRPr="00AC103B" w:rsidRDefault="00FC50BF" w:rsidP="00AC103B">
      <w:pPr>
        <w:shd w:val="clear" w:color="auto" w:fill="FFFFFF"/>
        <w:spacing w:after="240" w:line="240" w:lineRule="auto"/>
        <w:ind w:left="720"/>
        <w:rPr>
          <w:rFonts w:ascii="Arial" w:eastAsia="Times New Roman" w:hAnsi="Arial" w:cs="Arial"/>
          <w:color w:val="000000"/>
        </w:rPr>
      </w:pPr>
      <w:r w:rsidRPr="00AC103B">
        <w:rPr>
          <w:rFonts w:ascii="Arial" w:eastAsia="Times New Roman" w:hAnsi="Arial" w:cs="Arial"/>
          <w:color w:val="000000"/>
        </w:rPr>
        <w:lastRenderedPageBreak/>
        <w:t>Plaintiffs further clarify that they have no intention to seek any relief from this Court on Count 3 (Section 504 is Unconstitutional) of their Complaint [or]their Demand for Relief at d–e [which would have declared Section 504 unconstitutional and blocked HHS from enforcing Section 504]. And nothing in Plaintiffs’ Complaint seeks to . . .  prevent the Federal Government from allocating spending or applying the provisions of the Rehabilitation Act to any recipients of such funds.</w:t>
      </w:r>
    </w:p>
    <w:p w14:paraId="6B7D3F71" w14:textId="466921D0" w:rsidR="00FC50BF" w:rsidRPr="00AC103B" w:rsidRDefault="00FC50BF" w:rsidP="00AC103B">
      <w:pPr>
        <w:shd w:val="clear" w:color="auto" w:fill="FFFFFF"/>
        <w:spacing w:after="240" w:line="240" w:lineRule="auto"/>
        <w:rPr>
          <w:rFonts w:ascii="Arial" w:eastAsia="Times New Roman" w:hAnsi="Arial" w:cs="Arial"/>
          <w:color w:val="000000"/>
        </w:rPr>
      </w:pPr>
      <w:r w:rsidRPr="00AC103B">
        <w:rPr>
          <w:rFonts w:ascii="Arial" w:eastAsia="Times New Roman" w:hAnsi="Arial" w:cs="Arial"/>
          <w:color w:val="000000"/>
        </w:rPr>
        <w:t xml:space="preserve">This means that the district court in Texas will not rule on whether Section 504 is constitutional. This question will not go to the Fifth Circuit Court of Appeals or the U.S. Supreme Court. The bad news is that </w:t>
      </w:r>
      <w:r w:rsidRPr="00AC103B">
        <w:rPr>
          <w:rFonts w:ascii="Arial" w:eastAsia="Times New Roman" w:hAnsi="Arial" w:cs="Arial"/>
          <w:b/>
          <w:bCs/>
          <w:color w:val="000000"/>
        </w:rPr>
        <w:t>the states have not dropped the case, and HHS has joined the states in their attack on the rights of transgender people</w:t>
      </w:r>
      <w:r w:rsidRPr="00AC103B">
        <w:rPr>
          <w:rFonts w:ascii="Arial" w:eastAsia="Times New Roman" w:hAnsi="Arial" w:cs="Arial"/>
          <w:color w:val="000000"/>
        </w:rPr>
        <w:t>.</w:t>
      </w:r>
    </w:p>
    <w:p w14:paraId="43E53DD0" w14:textId="4A431056" w:rsidR="00FC50BF" w:rsidRPr="00AC103B" w:rsidRDefault="00FC50BF" w:rsidP="00AC103B">
      <w:pPr>
        <w:pStyle w:val="Heading2"/>
      </w:pPr>
      <w:r w:rsidRPr="00AC103B">
        <w:t xml:space="preserve">April 10 Notice: HHS Rejects its Prior Position that Gender Dysphoria Can Be a Disability </w:t>
      </w:r>
    </w:p>
    <w:p w14:paraId="116B27C7" w14:textId="01D9C9B2" w:rsidR="00FC50BF" w:rsidRPr="00AC103B" w:rsidRDefault="00FC50BF" w:rsidP="00AC103B">
      <w:pPr>
        <w:shd w:val="clear" w:color="auto" w:fill="FFFFFF" w:themeFill="background1"/>
        <w:spacing w:after="240" w:line="240" w:lineRule="auto"/>
        <w:rPr>
          <w:rFonts w:ascii="Arial" w:eastAsia="Times New Roman" w:hAnsi="Arial" w:cs="Arial"/>
          <w:color w:val="000000" w:themeColor="text1"/>
        </w:rPr>
      </w:pPr>
      <w:r w:rsidRPr="00AC103B">
        <w:rPr>
          <w:rFonts w:ascii="Arial" w:eastAsia="Times New Roman" w:hAnsi="Arial" w:cs="Arial"/>
          <w:color w:val="000000" w:themeColor="text1"/>
        </w:rPr>
        <w:t xml:space="preserve">On April 10, 2025, HHS published a </w:t>
      </w:r>
      <w:hyperlink r:id="rId15" w:history="1">
        <w:r w:rsidRPr="00987152">
          <w:rPr>
            <w:rStyle w:val="Hyperlink"/>
            <w:rFonts w:ascii="Arial" w:eastAsia="Times New Roman" w:hAnsi="Arial" w:cs="Arial"/>
          </w:rPr>
          <w:t>notice in the Federal Register</w:t>
        </w:r>
      </w:hyperlink>
      <w:r w:rsidRPr="00AC103B">
        <w:rPr>
          <w:rFonts w:ascii="Arial" w:eastAsia="Times New Roman" w:hAnsi="Arial" w:cs="Arial"/>
          <w:color w:val="000000" w:themeColor="text1"/>
        </w:rPr>
        <w:t xml:space="preserve"> about the preamble to the Section 504 regulations. The notice says that the preamble's statement about gender dysphoria “does not have the force or effect of law” and “cannot be enforced.”</w:t>
      </w:r>
    </w:p>
    <w:p w14:paraId="14D363D9" w14:textId="77777777" w:rsidR="00AC103B" w:rsidRDefault="00FC50BF" w:rsidP="00AC103B">
      <w:pPr>
        <w:shd w:val="clear" w:color="auto" w:fill="FFFFFF" w:themeFill="background1"/>
        <w:spacing w:after="240" w:line="240" w:lineRule="auto"/>
        <w:rPr>
          <w:rFonts w:ascii="Arial" w:eastAsia="Times New Roman" w:hAnsi="Arial" w:cs="Arial"/>
          <w:color w:val="000000" w:themeColor="text1"/>
        </w:rPr>
      </w:pPr>
      <w:r w:rsidRPr="00AC103B">
        <w:rPr>
          <w:rFonts w:ascii="Arial" w:eastAsia="Times New Roman" w:hAnsi="Arial" w:cs="Arial"/>
          <w:color w:val="000000" w:themeColor="text1"/>
        </w:rPr>
        <w:t>HHS’s April 10 notice does not change existing caselaw holding that gender dysphoria may be a disability. We agree with that caselaw. We condemn discrimination against transgender people.</w:t>
      </w:r>
    </w:p>
    <w:p w14:paraId="1821DFB8" w14:textId="23F2DDBA" w:rsidR="00773D6A" w:rsidRPr="00AC103B" w:rsidRDefault="00FC50BF" w:rsidP="00AC103B">
      <w:pPr>
        <w:shd w:val="clear" w:color="auto" w:fill="FFFFFF" w:themeFill="background1"/>
        <w:spacing w:after="240" w:line="240" w:lineRule="auto"/>
        <w:rPr>
          <w:rFonts w:ascii="Arial" w:eastAsia="Times New Roman" w:hAnsi="Arial" w:cs="Arial"/>
          <w:color w:val="000000" w:themeColor="text1"/>
        </w:rPr>
      </w:pPr>
      <w:r w:rsidRPr="00AC103B">
        <w:rPr>
          <w:rFonts w:ascii="Arial" w:eastAsia="Times New Roman" w:hAnsi="Arial" w:cs="Arial"/>
          <w:color w:val="000000"/>
        </w:rPr>
        <w:t xml:space="preserve">The HHS notice affects the claims in the </w:t>
      </w:r>
      <w:r w:rsidRPr="00AC103B">
        <w:rPr>
          <w:rFonts w:ascii="Arial" w:eastAsia="Times New Roman" w:hAnsi="Arial" w:cs="Arial"/>
          <w:i/>
          <w:iCs/>
          <w:color w:val="000000"/>
        </w:rPr>
        <w:t>Texas v. Kennedy</w:t>
      </w:r>
      <w:r w:rsidRPr="00AC103B">
        <w:rPr>
          <w:rFonts w:ascii="Arial" w:eastAsia="Times New Roman" w:hAnsi="Arial" w:cs="Arial"/>
          <w:color w:val="000000"/>
        </w:rPr>
        <w:t xml:space="preserve"> lawsuit about gender dysphoria. The states and HHS are no longer in disagreement about the discussion in the preamble. This part of the lawsuit is likely “moot,” or no longer a dispute for the court to decide.</w:t>
      </w:r>
    </w:p>
    <w:p w14:paraId="5D74A1C6" w14:textId="3730F6DF" w:rsidR="00FC50BF" w:rsidRPr="00AC103B" w:rsidRDefault="00FC50BF" w:rsidP="00AC103B">
      <w:pPr>
        <w:pStyle w:val="Heading2"/>
      </w:pPr>
      <w:r w:rsidRPr="00AC103B">
        <w:t>What Now?</w:t>
      </w:r>
    </w:p>
    <w:p w14:paraId="65AA1BA4" w14:textId="65F1A745" w:rsidR="00FC50BF" w:rsidRPr="00AC103B" w:rsidRDefault="00FC50BF" w:rsidP="00AC103B">
      <w:pPr>
        <w:spacing w:after="240" w:line="240" w:lineRule="auto"/>
        <w:rPr>
          <w:rFonts w:ascii="Arial" w:eastAsia="Times New Roman" w:hAnsi="Arial" w:cs="Arial"/>
          <w:color w:val="212121"/>
        </w:rPr>
      </w:pPr>
      <w:r w:rsidRPr="00AC103B">
        <w:rPr>
          <w:rFonts w:ascii="Arial" w:eastAsia="Times New Roman" w:hAnsi="Arial" w:cs="Arial"/>
          <w:color w:val="212121"/>
        </w:rPr>
        <w:t xml:space="preserve">The </w:t>
      </w:r>
      <w:r w:rsidRPr="00AC103B">
        <w:rPr>
          <w:rFonts w:ascii="Arial" w:eastAsia="Times New Roman" w:hAnsi="Arial" w:cs="Arial"/>
          <w:i/>
          <w:iCs/>
          <w:color w:val="212121"/>
        </w:rPr>
        <w:t>Texas v. Kennedy</w:t>
      </w:r>
      <w:r w:rsidRPr="00AC103B">
        <w:rPr>
          <w:rFonts w:ascii="Arial" w:eastAsia="Times New Roman" w:hAnsi="Arial" w:cs="Arial"/>
          <w:color w:val="212121"/>
        </w:rPr>
        <w:t xml:space="preserve"> case remains a significant threat to the rights of people with disabilities. The 17 states continue to challenge the updated Section 504 regulations which include:</w:t>
      </w:r>
    </w:p>
    <w:p w14:paraId="49F33E4A" w14:textId="77777777" w:rsidR="00FC50BF" w:rsidRPr="00AC103B" w:rsidRDefault="00FC50BF" w:rsidP="00AC103B">
      <w:pPr>
        <w:pStyle w:val="ListParagraph"/>
        <w:numPr>
          <w:ilvl w:val="0"/>
          <w:numId w:val="1"/>
        </w:numPr>
        <w:spacing w:after="240" w:line="240" w:lineRule="auto"/>
        <w:rPr>
          <w:rFonts w:ascii="Arial" w:eastAsia="Times New Roman" w:hAnsi="Arial" w:cs="Arial"/>
          <w:color w:val="212121"/>
        </w:rPr>
      </w:pPr>
      <w:r w:rsidRPr="00AC103B">
        <w:rPr>
          <w:rFonts w:ascii="Arial" w:eastAsia="Times New Roman" w:hAnsi="Arial" w:cs="Arial"/>
          <w:color w:val="212121"/>
        </w:rPr>
        <w:t>the right to receive services in the community instead of institutions</w:t>
      </w:r>
    </w:p>
    <w:p w14:paraId="13A98350" w14:textId="77777777" w:rsidR="00FC50BF" w:rsidRPr="00AC103B" w:rsidRDefault="00FC50BF" w:rsidP="00AC103B">
      <w:pPr>
        <w:pStyle w:val="ListParagraph"/>
        <w:numPr>
          <w:ilvl w:val="0"/>
          <w:numId w:val="1"/>
        </w:numPr>
        <w:spacing w:after="240" w:line="240" w:lineRule="auto"/>
        <w:rPr>
          <w:rFonts w:ascii="Arial" w:eastAsia="Times New Roman" w:hAnsi="Arial" w:cs="Arial"/>
          <w:color w:val="212121"/>
        </w:rPr>
      </w:pPr>
      <w:r w:rsidRPr="00AC103B">
        <w:rPr>
          <w:rFonts w:ascii="Arial" w:eastAsia="Times New Roman" w:hAnsi="Arial" w:cs="Arial"/>
          <w:color w:val="212121"/>
        </w:rPr>
        <w:t xml:space="preserve">a ban on disability discrimination in medical treatment decisions including -- </w:t>
      </w:r>
    </w:p>
    <w:p w14:paraId="691F5326" w14:textId="77777777" w:rsidR="00FC50BF" w:rsidRPr="00AC103B" w:rsidRDefault="00FC50BF" w:rsidP="00AC103B">
      <w:pPr>
        <w:pStyle w:val="ListParagraph"/>
        <w:numPr>
          <w:ilvl w:val="1"/>
          <w:numId w:val="1"/>
        </w:numPr>
        <w:spacing w:after="240" w:line="240" w:lineRule="auto"/>
        <w:rPr>
          <w:rFonts w:ascii="Arial" w:eastAsia="Times New Roman" w:hAnsi="Arial" w:cs="Arial"/>
          <w:color w:val="212121"/>
        </w:rPr>
      </w:pPr>
      <w:r w:rsidRPr="00AC103B">
        <w:rPr>
          <w:rFonts w:ascii="Arial" w:eastAsia="Times New Roman" w:hAnsi="Arial" w:cs="Arial"/>
          <w:color w:val="212121"/>
        </w:rPr>
        <w:t>life-saving healthcare</w:t>
      </w:r>
    </w:p>
    <w:p w14:paraId="71C5D6C2" w14:textId="77777777" w:rsidR="00FC50BF" w:rsidRPr="00AC103B" w:rsidRDefault="00FC50BF" w:rsidP="00AC103B">
      <w:pPr>
        <w:pStyle w:val="ListParagraph"/>
        <w:numPr>
          <w:ilvl w:val="1"/>
          <w:numId w:val="1"/>
        </w:numPr>
        <w:spacing w:after="240" w:line="240" w:lineRule="auto"/>
        <w:rPr>
          <w:rFonts w:ascii="Arial" w:eastAsia="Times New Roman" w:hAnsi="Arial" w:cs="Arial"/>
          <w:color w:val="212121"/>
        </w:rPr>
      </w:pPr>
      <w:r w:rsidRPr="00AC103B">
        <w:rPr>
          <w:rFonts w:ascii="Arial" w:eastAsia="Times New Roman" w:hAnsi="Arial" w:cs="Arial"/>
          <w:color w:val="212121"/>
        </w:rPr>
        <w:t>organ transplants</w:t>
      </w:r>
    </w:p>
    <w:p w14:paraId="4DCCB747" w14:textId="77777777" w:rsidR="00FC50BF" w:rsidRPr="00AC103B" w:rsidRDefault="00FC50BF" w:rsidP="00AC103B">
      <w:pPr>
        <w:pStyle w:val="ListParagraph"/>
        <w:numPr>
          <w:ilvl w:val="1"/>
          <w:numId w:val="1"/>
        </w:numPr>
        <w:spacing w:after="240" w:line="240" w:lineRule="auto"/>
        <w:rPr>
          <w:rFonts w:ascii="Arial" w:eastAsia="Times New Roman" w:hAnsi="Arial" w:cs="Arial"/>
          <w:color w:val="212121"/>
        </w:rPr>
      </w:pPr>
      <w:r w:rsidRPr="00AC103B">
        <w:rPr>
          <w:rFonts w:ascii="Arial" w:eastAsia="Times New Roman" w:hAnsi="Arial" w:cs="Arial"/>
          <w:color w:val="212121"/>
        </w:rPr>
        <w:t>allocation of scarce resources like ventilators during a pandemic</w:t>
      </w:r>
    </w:p>
    <w:p w14:paraId="41A000B9" w14:textId="77777777" w:rsidR="00FC50BF" w:rsidRPr="00AC103B" w:rsidRDefault="00FC50BF" w:rsidP="00AC103B">
      <w:pPr>
        <w:pStyle w:val="ListParagraph"/>
        <w:numPr>
          <w:ilvl w:val="0"/>
          <w:numId w:val="1"/>
        </w:numPr>
        <w:spacing w:after="240" w:line="240" w:lineRule="auto"/>
        <w:rPr>
          <w:rFonts w:ascii="Arial" w:eastAsia="Times New Roman" w:hAnsi="Arial" w:cs="Arial"/>
          <w:color w:val="212121"/>
        </w:rPr>
      </w:pPr>
      <w:r w:rsidRPr="00AC103B">
        <w:rPr>
          <w:rFonts w:ascii="Arial" w:eastAsia="Times New Roman" w:hAnsi="Arial" w:cs="Arial"/>
          <w:color w:val="212121"/>
        </w:rPr>
        <w:t>accessible medical equipment, websites, and kiosks</w:t>
      </w:r>
    </w:p>
    <w:p w14:paraId="27910A43" w14:textId="7A370558" w:rsidR="00FC50BF" w:rsidRPr="00AC103B" w:rsidRDefault="00FC50BF" w:rsidP="00AC103B">
      <w:pPr>
        <w:pStyle w:val="ListParagraph"/>
        <w:numPr>
          <w:ilvl w:val="0"/>
          <w:numId w:val="1"/>
        </w:numPr>
        <w:spacing w:after="240" w:line="240" w:lineRule="auto"/>
        <w:rPr>
          <w:rFonts w:ascii="Arial" w:eastAsia="Times New Roman" w:hAnsi="Arial" w:cs="Arial"/>
          <w:color w:val="212121"/>
        </w:rPr>
      </w:pPr>
      <w:r w:rsidRPr="00AC103B">
        <w:rPr>
          <w:rFonts w:ascii="Arial" w:eastAsia="Times New Roman" w:hAnsi="Arial" w:cs="Arial"/>
          <w:color w:val="212121"/>
        </w:rPr>
        <w:t>reasonable accommodations and effective communication</w:t>
      </w:r>
    </w:p>
    <w:p w14:paraId="704A1A15" w14:textId="7B1E3DE3" w:rsidR="005B40B1" w:rsidRPr="00AC103B" w:rsidRDefault="00FC50BF" w:rsidP="00AC103B">
      <w:pPr>
        <w:spacing w:after="240" w:line="240" w:lineRule="auto"/>
        <w:rPr>
          <w:rFonts w:ascii="Arial" w:eastAsia="Times New Roman" w:hAnsi="Arial" w:cs="Arial"/>
          <w:color w:val="212121"/>
        </w:rPr>
      </w:pPr>
      <w:r w:rsidRPr="00AC103B">
        <w:rPr>
          <w:rFonts w:ascii="Arial" w:eastAsia="Times New Roman" w:hAnsi="Arial" w:cs="Arial"/>
          <w:color w:val="212121"/>
        </w:rPr>
        <w:t xml:space="preserve">The parties’ next filing is due on </w:t>
      </w:r>
      <w:r w:rsidR="00782B39">
        <w:rPr>
          <w:rFonts w:ascii="Arial" w:eastAsia="Times New Roman" w:hAnsi="Arial" w:cs="Arial"/>
          <w:color w:val="212121"/>
        </w:rPr>
        <w:t>July</w:t>
      </w:r>
      <w:r w:rsidRPr="00AC103B">
        <w:rPr>
          <w:rFonts w:ascii="Arial" w:eastAsia="Times New Roman" w:hAnsi="Arial" w:cs="Arial"/>
          <w:color w:val="212121"/>
        </w:rPr>
        <w:t xml:space="preserve"> 21, 2025. We urge those of you from any of the 17 states to continue advocating for your state’s Attorney General to withdraw from the case.</w:t>
      </w:r>
    </w:p>
    <w:p w14:paraId="3F6117D3" w14:textId="12640C80" w:rsidR="00FC50BF" w:rsidRPr="00AC103B" w:rsidRDefault="00FC50BF" w:rsidP="00AC103B">
      <w:pPr>
        <w:spacing w:after="240" w:line="240" w:lineRule="auto"/>
        <w:rPr>
          <w:rFonts w:ascii="Arial" w:hAnsi="Arial" w:cs="Arial"/>
        </w:rPr>
      </w:pPr>
      <w:r w:rsidRPr="00AC103B">
        <w:rPr>
          <w:rFonts w:ascii="Arial" w:eastAsia="Times New Roman" w:hAnsi="Arial" w:cs="Arial"/>
          <w:color w:val="212121"/>
        </w:rPr>
        <w:lastRenderedPageBreak/>
        <w:t xml:space="preserve">We are monitoring the case and will continue to provide you with updates. We will continue to defend the HHS Section 504 </w:t>
      </w:r>
      <w:proofErr w:type="gramStart"/>
      <w:r w:rsidRPr="00AC103B">
        <w:rPr>
          <w:rFonts w:ascii="Arial" w:eastAsia="Times New Roman" w:hAnsi="Arial" w:cs="Arial"/>
          <w:color w:val="212121"/>
        </w:rPr>
        <w:t>regulations</w:t>
      </w:r>
      <w:proofErr w:type="gramEnd"/>
      <w:r w:rsidRPr="00AC103B">
        <w:rPr>
          <w:rFonts w:ascii="Arial" w:eastAsia="Times New Roman" w:hAnsi="Arial" w:cs="Arial"/>
          <w:color w:val="212121"/>
        </w:rPr>
        <w:t xml:space="preserve"> and the important rights disabled people have fought so hard for</w:t>
      </w:r>
      <w:r w:rsidR="00AC103B">
        <w:rPr>
          <w:rFonts w:ascii="Arial" w:eastAsia="Times New Roman" w:hAnsi="Arial" w:cs="Arial"/>
          <w:color w:val="212121"/>
        </w:rPr>
        <w:t>.</w:t>
      </w:r>
    </w:p>
    <w:p w14:paraId="2FA92ACC" w14:textId="23405894" w:rsidR="00FC50BF" w:rsidRPr="00AC103B" w:rsidRDefault="00FC50BF" w:rsidP="00AC103B">
      <w:pPr>
        <w:spacing w:after="240" w:line="240" w:lineRule="auto"/>
        <w:rPr>
          <w:rFonts w:ascii="Arial" w:eastAsia="Times New Roman" w:hAnsi="Arial" w:cs="Arial"/>
          <w:color w:val="212121"/>
        </w:rPr>
      </w:pPr>
      <w:r w:rsidRPr="00AC103B">
        <w:rPr>
          <w:rFonts w:ascii="Arial" w:eastAsia="Times New Roman" w:hAnsi="Arial" w:cs="Arial"/>
          <w:color w:val="212121"/>
        </w:rPr>
        <w:t>We urge everyone to fight to defend Medicaid. The promise of Section 504 is empty without Medicaid. Medicaid funds the services and supports disabled people need to live in the community. For more information and tools check with your local disability organization and visit:</w:t>
      </w:r>
    </w:p>
    <w:p w14:paraId="07DBAD94" w14:textId="1E5DA5EF" w:rsidR="00FC50BF" w:rsidRPr="00AC103B" w:rsidRDefault="000F6656" w:rsidP="00AC103B">
      <w:pPr>
        <w:pStyle w:val="ListParagraph"/>
        <w:numPr>
          <w:ilvl w:val="0"/>
          <w:numId w:val="2"/>
        </w:numPr>
        <w:spacing w:after="240" w:line="240" w:lineRule="auto"/>
        <w:rPr>
          <w:rFonts w:ascii="Arial" w:eastAsia="Times New Roman" w:hAnsi="Arial" w:cs="Arial"/>
          <w:color w:val="212121"/>
        </w:rPr>
      </w:pPr>
      <w:hyperlink r:id="rId16" w:history="1">
        <w:r w:rsidRPr="00AC103B">
          <w:rPr>
            <w:rStyle w:val="Hyperlink"/>
            <w:rFonts w:ascii="Arial" w:eastAsia="Times New Roman" w:hAnsi="Arial" w:cs="Arial"/>
          </w:rPr>
          <w:t xml:space="preserve">Medicaid is Under Attack! Tell Your Elected Officials “Hands Off Our Medicaid!” | </w:t>
        </w:r>
        <w:r w:rsidR="00FC50BF" w:rsidRPr="00AC103B">
          <w:rPr>
            <w:rStyle w:val="Hyperlink"/>
            <w:rFonts w:ascii="Arial" w:eastAsia="Times New Roman" w:hAnsi="Arial" w:cs="Arial"/>
          </w:rPr>
          <w:t>DREDF</w:t>
        </w:r>
      </w:hyperlink>
    </w:p>
    <w:p w14:paraId="119EB599" w14:textId="3F763261" w:rsidR="00FC50BF" w:rsidRPr="00AC103B" w:rsidRDefault="000F6656" w:rsidP="00AC103B">
      <w:pPr>
        <w:pStyle w:val="ListParagraph"/>
        <w:numPr>
          <w:ilvl w:val="0"/>
          <w:numId w:val="2"/>
        </w:numPr>
        <w:spacing w:after="240" w:line="240" w:lineRule="auto"/>
        <w:rPr>
          <w:rFonts w:ascii="Arial" w:eastAsia="Times New Roman" w:hAnsi="Arial" w:cs="Arial"/>
          <w:color w:val="212121"/>
        </w:rPr>
      </w:pPr>
      <w:hyperlink r:id="rId17" w:history="1">
        <w:r w:rsidRPr="00AC103B">
          <w:rPr>
            <w:rStyle w:val="Hyperlink"/>
            <w:rFonts w:ascii="Arial" w:eastAsia="Times New Roman" w:hAnsi="Arial" w:cs="Arial"/>
          </w:rPr>
          <w:t xml:space="preserve">Medicaid Action Month | </w:t>
        </w:r>
        <w:r w:rsidR="00FC50BF" w:rsidRPr="00AC103B">
          <w:rPr>
            <w:rStyle w:val="Hyperlink"/>
            <w:rFonts w:ascii="Arial" w:eastAsia="Times New Roman" w:hAnsi="Arial" w:cs="Arial"/>
          </w:rPr>
          <w:t>National Health Law Program</w:t>
        </w:r>
      </w:hyperlink>
    </w:p>
    <w:p w14:paraId="5028E855" w14:textId="325E84D2" w:rsidR="00FC50BF" w:rsidRPr="00AC103B" w:rsidRDefault="000F6656" w:rsidP="00AC103B">
      <w:pPr>
        <w:pStyle w:val="ListParagraph"/>
        <w:numPr>
          <w:ilvl w:val="0"/>
          <w:numId w:val="2"/>
        </w:numPr>
        <w:spacing w:after="240" w:line="240" w:lineRule="auto"/>
        <w:rPr>
          <w:rFonts w:ascii="Arial" w:eastAsia="Times New Roman" w:hAnsi="Arial" w:cs="Arial"/>
          <w:color w:val="212121"/>
        </w:rPr>
      </w:pPr>
      <w:hyperlink r:id="rId18" w:history="1">
        <w:r w:rsidRPr="00AC103B">
          <w:rPr>
            <w:rStyle w:val="Hyperlink"/>
            <w:rFonts w:ascii="Arial" w:eastAsia="Times New Roman" w:hAnsi="Arial" w:cs="Arial"/>
          </w:rPr>
          <w:t xml:space="preserve">2025 Medicaid Toolkit | </w:t>
        </w:r>
        <w:r w:rsidR="00FC50BF" w:rsidRPr="00AC103B">
          <w:rPr>
            <w:rStyle w:val="Hyperlink"/>
            <w:rFonts w:ascii="Arial" w:eastAsia="Times New Roman" w:hAnsi="Arial" w:cs="Arial"/>
          </w:rPr>
          <w:t>The Arc</w:t>
        </w:r>
      </w:hyperlink>
    </w:p>
    <w:p w14:paraId="268A31B6" w14:textId="1EA1E70A" w:rsidR="00AC103B" w:rsidRPr="00AC103B" w:rsidRDefault="00FC50BF" w:rsidP="00AC103B">
      <w:pPr>
        <w:spacing w:after="240" w:line="240" w:lineRule="auto"/>
        <w:rPr>
          <w:rFonts w:ascii="Arial" w:eastAsia="Times New Roman" w:hAnsi="Arial" w:cs="Arial"/>
          <w:color w:val="212121"/>
        </w:rPr>
      </w:pPr>
      <w:r w:rsidRPr="00AC103B">
        <w:rPr>
          <w:rFonts w:ascii="Arial" w:eastAsia="Times New Roman" w:hAnsi="Arial" w:cs="Arial"/>
          <w:color w:val="212121"/>
        </w:rPr>
        <w:t xml:space="preserve">We must all </w:t>
      </w:r>
      <w:r w:rsidR="000F6656" w:rsidRPr="00AC103B">
        <w:rPr>
          <w:rFonts w:ascii="Arial" w:eastAsia="Times New Roman" w:hAnsi="Arial" w:cs="Arial"/>
          <w:color w:val="212121"/>
        </w:rPr>
        <w:t>work</w:t>
      </w:r>
      <w:r w:rsidRPr="00AC103B">
        <w:rPr>
          <w:rFonts w:ascii="Arial" w:eastAsia="Times New Roman" w:hAnsi="Arial" w:cs="Arial"/>
          <w:color w:val="212121"/>
        </w:rPr>
        <w:t xml:space="preserve"> together – your advocacy is important! </w:t>
      </w:r>
    </w:p>
    <w:p w14:paraId="38DCF703" w14:textId="359672BE" w:rsidR="00B05156" w:rsidRPr="00AC103B" w:rsidRDefault="0001226F" w:rsidP="00AC103B">
      <w:pPr>
        <w:spacing w:after="240" w:line="240" w:lineRule="auto"/>
        <w:rPr>
          <w:rFonts w:ascii="Arial" w:hAnsi="Arial" w:cs="Arial"/>
        </w:rPr>
      </w:pPr>
      <w:r w:rsidRPr="00AC103B">
        <w:rPr>
          <w:rFonts w:ascii="Arial" w:hAnsi="Arial" w:cs="Arial"/>
        </w:rPr>
        <w:t>*  Contributions also by Alison Barkoff, Hirsh Health Law and Policy Associate Professor, George Washington University</w:t>
      </w:r>
    </w:p>
    <w:sectPr w:rsidR="00B05156" w:rsidRPr="00AC103B" w:rsidSect="00B26A00">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B53E" w14:textId="77777777" w:rsidR="001A4B05" w:rsidRDefault="001A4B05" w:rsidP="00BE6E3A">
      <w:pPr>
        <w:spacing w:after="0" w:line="240" w:lineRule="auto"/>
      </w:pPr>
      <w:r>
        <w:separator/>
      </w:r>
    </w:p>
  </w:endnote>
  <w:endnote w:type="continuationSeparator" w:id="0">
    <w:p w14:paraId="6241287D" w14:textId="77777777" w:rsidR="001A4B05" w:rsidRDefault="001A4B05" w:rsidP="00BE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3CF4" w14:textId="57E3038D" w:rsidR="00573199" w:rsidRPr="00573199" w:rsidRDefault="00A84CF0" w:rsidP="000F6656">
    <w:pPr>
      <w:pStyle w:val="Footer"/>
      <w:jc w:val="right"/>
      <w:rPr>
        <w:rFonts w:ascii="Arial" w:hAnsi="Arial" w:cs="Arial"/>
      </w:rPr>
    </w:pPr>
    <w:r>
      <w:rPr>
        <w:rFonts w:ascii="Arial" w:hAnsi="Arial" w:cs="Arial"/>
      </w:rPr>
      <w:t>April</w:t>
    </w:r>
    <w:r w:rsidR="00573199" w:rsidRPr="00573199">
      <w:rPr>
        <w:rFonts w:ascii="Arial" w:hAnsi="Arial" w:cs="Arial"/>
      </w:rPr>
      <w:t xml:space="preserve"> 2</w:t>
    </w:r>
    <w:r w:rsidR="00416848">
      <w:rPr>
        <w:rFonts w:ascii="Arial" w:hAnsi="Arial" w:cs="Arial"/>
      </w:rPr>
      <w:t>3</w:t>
    </w:r>
    <w:r w:rsidR="00573199" w:rsidRPr="00573199">
      <w:rPr>
        <w:rFonts w:ascii="Arial" w:hAnsi="Arial" w:cs="Arial"/>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BE90" w14:textId="77777777" w:rsidR="001A4B05" w:rsidRDefault="001A4B05" w:rsidP="00BE6E3A">
      <w:pPr>
        <w:spacing w:after="0" w:line="240" w:lineRule="auto"/>
      </w:pPr>
      <w:r>
        <w:separator/>
      </w:r>
    </w:p>
  </w:footnote>
  <w:footnote w:type="continuationSeparator" w:id="0">
    <w:p w14:paraId="1E46C15F" w14:textId="77777777" w:rsidR="001A4B05" w:rsidRDefault="001A4B05" w:rsidP="00BE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F9AB" w14:textId="20D2DED0" w:rsidR="00573199" w:rsidRPr="00B26A00" w:rsidRDefault="00742706" w:rsidP="00B26A00">
    <w:pPr>
      <w:rPr>
        <w:rFonts w:ascii="Arial" w:hAnsi="Arial" w:cs="Arial"/>
      </w:rPr>
    </w:pPr>
    <w:r w:rsidRPr="00B26A00">
      <w:rPr>
        <w:rFonts w:ascii="Arial" w:hAnsi="Arial" w:cs="Arial"/>
        <w:noProof/>
      </w:rPr>
      <w:drawing>
        <wp:anchor distT="0" distB="0" distL="114300" distR="114300" simplePos="0" relativeHeight="251663360" behindDoc="0" locked="0" layoutInCell="1" allowOverlap="1" wp14:anchorId="0D272A1A" wp14:editId="6A6EDE49">
          <wp:simplePos x="0" y="0"/>
          <wp:positionH relativeFrom="column">
            <wp:posOffset>726892</wp:posOffset>
          </wp:positionH>
          <wp:positionV relativeFrom="paragraph">
            <wp:posOffset>153940</wp:posOffset>
          </wp:positionV>
          <wp:extent cx="1276985" cy="501015"/>
          <wp:effectExtent l="0" t="0" r="5715" b="0"/>
          <wp:wrapSquare wrapText="bothSides"/>
          <wp:docPr id="974165414" name="Picture 1" descr="The Disability Rights Education and Defens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65414" name="Picture 1" descr="The Disability Rights Education and Defense Fund logo"/>
                  <pic:cNvPicPr/>
                </pic:nvPicPr>
                <pic:blipFill>
                  <a:blip r:embed="rId1">
                    <a:extLst>
                      <a:ext uri="{28A0092B-C50C-407E-A947-70E740481C1C}">
                        <a14:useLocalDpi xmlns:a14="http://schemas.microsoft.com/office/drawing/2010/main" val="0"/>
                      </a:ext>
                    </a:extLst>
                  </a:blip>
                  <a:stretch>
                    <a:fillRect/>
                  </a:stretch>
                </pic:blipFill>
                <pic:spPr>
                  <a:xfrm>
                    <a:off x="0" y="0"/>
                    <a:ext cx="1276985" cy="501015"/>
                  </a:xfrm>
                  <a:prstGeom prst="rect">
                    <a:avLst/>
                  </a:prstGeom>
                </pic:spPr>
              </pic:pic>
            </a:graphicData>
          </a:graphic>
          <wp14:sizeRelH relativeFrom="page">
            <wp14:pctWidth>0</wp14:pctWidth>
          </wp14:sizeRelH>
          <wp14:sizeRelV relativeFrom="page">
            <wp14:pctHeight>0</wp14:pctHeight>
          </wp14:sizeRelV>
        </wp:anchor>
      </w:drawing>
    </w:r>
    <w:r w:rsidRPr="00B26A00">
      <w:rPr>
        <w:rFonts w:ascii="Arial" w:hAnsi="Arial" w:cs="Arial"/>
        <w:noProof/>
      </w:rPr>
      <w:drawing>
        <wp:anchor distT="0" distB="0" distL="114300" distR="114300" simplePos="0" relativeHeight="251659264" behindDoc="0" locked="0" layoutInCell="1" allowOverlap="1" wp14:anchorId="2A4C28F7" wp14:editId="389D2A03">
          <wp:simplePos x="0" y="0"/>
          <wp:positionH relativeFrom="margin">
            <wp:posOffset>2226945</wp:posOffset>
          </wp:positionH>
          <wp:positionV relativeFrom="paragraph">
            <wp:posOffset>192405</wp:posOffset>
          </wp:positionV>
          <wp:extent cx="1144270" cy="416560"/>
          <wp:effectExtent l="0" t="0" r="0" b="2540"/>
          <wp:wrapSquare wrapText="bothSides"/>
          <wp:docPr id="856174287" name="Picture 2" descr="The Bazelon Center for Mental Health L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74287" name="Picture 2" descr="The Bazelon Center for Mental Health Law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4270" cy="41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A00" w:rsidRPr="00B26A00">
      <w:rPr>
        <w:rFonts w:ascii="Arial" w:hAnsi="Arial" w:cs="Arial"/>
        <w:noProof/>
      </w:rPr>
      <w:drawing>
        <wp:anchor distT="0" distB="0" distL="114300" distR="114300" simplePos="0" relativeHeight="251662336" behindDoc="0" locked="0" layoutInCell="1" allowOverlap="1" wp14:anchorId="198F25F3" wp14:editId="15F6AC70">
          <wp:simplePos x="0" y="0"/>
          <wp:positionH relativeFrom="column">
            <wp:posOffset>5537797</wp:posOffset>
          </wp:positionH>
          <wp:positionV relativeFrom="paragraph">
            <wp:posOffset>49530</wp:posOffset>
          </wp:positionV>
          <wp:extent cx="844550" cy="600710"/>
          <wp:effectExtent l="0" t="0" r="6350" b="0"/>
          <wp:wrapSquare wrapText="bothSides"/>
          <wp:docPr id="950626975" name="Picture 6" descr="The National Health Law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26975" name="Picture 6" descr="The National Health Law Program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4550" cy="600710"/>
                  </a:xfrm>
                  <a:prstGeom prst="rect">
                    <a:avLst/>
                  </a:prstGeom>
                  <a:noFill/>
                </pic:spPr>
              </pic:pic>
            </a:graphicData>
          </a:graphic>
          <wp14:sizeRelH relativeFrom="page">
            <wp14:pctWidth>0</wp14:pctWidth>
          </wp14:sizeRelH>
          <wp14:sizeRelV relativeFrom="page">
            <wp14:pctHeight>0</wp14:pctHeight>
          </wp14:sizeRelV>
        </wp:anchor>
      </w:drawing>
    </w:r>
    <w:r w:rsidR="00B26A00" w:rsidRPr="00B26A00">
      <w:rPr>
        <w:rFonts w:ascii="Arial" w:hAnsi="Arial" w:cs="Arial"/>
        <w:noProof/>
      </w:rPr>
      <w:drawing>
        <wp:anchor distT="0" distB="0" distL="114300" distR="114300" simplePos="0" relativeHeight="251664384" behindDoc="0" locked="0" layoutInCell="1" allowOverlap="1" wp14:anchorId="236E57FB" wp14:editId="65BA2BCB">
          <wp:simplePos x="0" y="0"/>
          <wp:positionH relativeFrom="column">
            <wp:posOffset>-342900</wp:posOffset>
          </wp:positionH>
          <wp:positionV relativeFrom="paragraph">
            <wp:posOffset>0</wp:posOffset>
          </wp:positionV>
          <wp:extent cx="1004570" cy="755015"/>
          <wp:effectExtent l="0" t="0" r="0" b="0"/>
          <wp:wrapSquare wrapText="bothSides"/>
          <wp:docPr id="3" name="Picture 2" descr="The Arc of the United St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he Arc of the United States logo"/>
                  <pic:cNvPicPr>
                    <a:picLocks noChangeAspect="1"/>
                  </pic:cNvPicPr>
                </pic:nvPicPr>
                <pic:blipFill rotWithShape="1">
                  <a:blip r:embed="rId4" cstate="print">
                    <a:extLst>
                      <a:ext uri="{28A0092B-C50C-407E-A947-70E740481C1C}">
                        <a14:useLocalDpi xmlns:a14="http://schemas.microsoft.com/office/drawing/2010/main" val="0"/>
                      </a:ext>
                    </a:extLst>
                  </a:blip>
                  <a:srcRect r="11073"/>
                  <a:stretch/>
                </pic:blipFill>
                <pic:spPr bwMode="auto">
                  <a:xfrm>
                    <a:off x="0" y="0"/>
                    <a:ext cx="1004570" cy="755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6A00" w:rsidRPr="00B26A00">
      <w:rPr>
        <w:rFonts w:ascii="Arial" w:hAnsi="Arial" w:cs="Arial"/>
      </w:rPr>
      <w:t xml:space="preserve">    </w:t>
    </w:r>
    <w:r w:rsidR="00573199" w:rsidRPr="00B26A00">
      <w:rPr>
        <w:rFonts w:ascii="Arial" w:hAnsi="Arial" w:cs="Arial"/>
      </w:rPr>
      <w:t xml:space="preserve"> </w:t>
    </w:r>
    <w:r>
      <w:rPr>
        <w:rFonts w:ascii="Arial" w:hAnsi="Arial" w:cs="Arial"/>
      </w:rPr>
      <w:br/>
    </w:r>
    <w:r w:rsidR="001B323A">
      <w:rPr>
        <w:rFonts w:ascii="Arial" w:hAnsi="Arial" w:cs="Arial"/>
      </w:rPr>
      <w:t xml:space="preserve">     </w:t>
    </w:r>
    <w:r w:rsidR="001B323A">
      <w:rPr>
        <w:noProof/>
        <w:sz w:val="32"/>
        <w:szCs w:val="32"/>
      </w:rPr>
      <w:drawing>
        <wp:inline distT="0" distB="0" distL="0" distR="0" wp14:anchorId="26B8D455" wp14:editId="2D33D7B0">
          <wp:extent cx="1619990" cy="429574"/>
          <wp:effectExtent l="0" t="0" r="0" b="2540"/>
          <wp:docPr id="389117985" name="Picture 1" descr="The Center for Public Represen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17985" name="Picture 1" descr="The Center for Public Representation logo"/>
                  <pic:cNvPicPr/>
                </pic:nvPicPr>
                <pic:blipFill>
                  <a:blip r:embed="rId5">
                    <a:extLst>
                      <a:ext uri="{28A0092B-C50C-407E-A947-70E740481C1C}">
                        <a14:useLocalDpi xmlns:a14="http://schemas.microsoft.com/office/drawing/2010/main" val="0"/>
                      </a:ext>
                    </a:extLst>
                  </a:blip>
                  <a:stretch>
                    <a:fillRect/>
                  </a:stretch>
                </pic:blipFill>
                <pic:spPr>
                  <a:xfrm>
                    <a:off x="0" y="0"/>
                    <a:ext cx="1693287" cy="449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2175A"/>
    <w:multiLevelType w:val="hybridMultilevel"/>
    <w:tmpl w:val="B53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031A1"/>
    <w:multiLevelType w:val="hybridMultilevel"/>
    <w:tmpl w:val="C758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670417">
    <w:abstractNumId w:val="0"/>
  </w:num>
  <w:num w:numId="2" w16cid:durableId="119847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1597C6"/>
    <w:rsid w:val="0001226F"/>
    <w:rsid w:val="000206D3"/>
    <w:rsid w:val="00030D71"/>
    <w:rsid w:val="00034391"/>
    <w:rsid w:val="000D080A"/>
    <w:rsid w:val="000F6656"/>
    <w:rsid w:val="00130368"/>
    <w:rsid w:val="00132EF5"/>
    <w:rsid w:val="001655DE"/>
    <w:rsid w:val="00166C21"/>
    <w:rsid w:val="001827CB"/>
    <w:rsid w:val="001A4B05"/>
    <w:rsid w:val="001A503E"/>
    <w:rsid w:val="001B323A"/>
    <w:rsid w:val="002020E8"/>
    <w:rsid w:val="002507F9"/>
    <w:rsid w:val="00261856"/>
    <w:rsid w:val="002C0250"/>
    <w:rsid w:val="002C5907"/>
    <w:rsid w:val="002D3632"/>
    <w:rsid w:val="002F377F"/>
    <w:rsid w:val="0035285F"/>
    <w:rsid w:val="003651FD"/>
    <w:rsid w:val="003A2B57"/>
    <w:rsid w:val="003D1174"/>
    <w:rsid w:val="003D5EB9"/>
    <w:rsid w:val="003E7CDD"/>
    <w:rsid w:val="004068B4"/>
    <w:rsid w:val="00416848"/>
    <w:rsid w:val="00515CE5"/>
    <w:rsid w:val="0051608E"/>
    <w:rsid w:val="00550397"/>
    <w:rsid w:val="00557875"/>
    <w:rsid w:val="00573199"/>
    <w:rsid w:val="00585816"/>
    <w:rsid w:val="005B40B1"/>
    <w:rsid w:val="005B4E1C"/>
    <w:rsid w:val="00617804"/>
    <w:rsid w:val="00661434"/>
    <w:rsid w:val="006641AE"/>
    <w:rsid w:val="00683C84"/>
    <w:rsid w:val="00742706"/>
    <w:rsid w:val="00750503"/>
    <w:rsid w:val="00773D6A"/>
    <w:rsid w:val="00782B39"/>
    <w:rsid w:val="0078473B"/>
    <w:rsid w:val="0079263E"/>
    <w:rsid w:val="007C6254"/>
    <w:rsid w:val="007C75A8"/>
    <w:rsid w:val="007F6599"/>
    <w:rsid w:val="007F7F23"/>
    <w:rsid w:val="0089366C"/>
    <w:rsid w:val="008C7A4D"/>
    <w:rsid w:val="00987152"/>
    <w:rsid w:val="00A204D2"/>
    <w:rsid w:val="00A643E2"/>
    <w:rsid w:val="00A73A28"/>
    <w:rsid w:val="00A84CF0"/>
    <w:rsid w:val="00AC07A9"/>
    <w:rsid w:val="00AC103B"/>
    <w:rsid w:val="00AC19E7"/>
    <w:rsid w:val="00AE48E3"/>
    <w:rsid w:val="00B05156"/>
    <w:rsid w:val="00B26A00"/>
    <w:rsid w:val="00B37A22"/>
    <w:rsid w:val="00B43684"/>
    <w:rsid w:val="00B500CA"/>
    <w:rsid w:val="00B55BC6"/>
    <w:rsid w:val="00B9288D"/>
    <w:rsid w:val="00BA022C"/>
    <w:rsid w:val="00BE6E3A"/>
    <w:rsid w:val="00C133EB"/>
    <w:rsid w:val="00C17EBE"/>
    <w:rsid w:val="00C3177B"/>
    <w:rsid w:val="00C379C6"/>
    <w:rsid w:val="00C807ED"/>
    <w:rsid w:val="00C8331D"/>
    <w:rsid w:val="00CD2DC1"/>
    <w:rsid w:val="00D35F07"/>
    <w:rsid w:val="00D802E3"/>
    <w:rsid w:val="00DC1EAD"/>
    <w:rsid w:val="00E05FB7"/>
    <w:rsid w:val="00E25261"/>
    <w:rsid w:val="00E70E2B"/>
    <w:rsid w:val="00E90FC7"/>
    <w:rsid w:val="00F35321"/>
    <w:rsid w:val="00F5514C"/>
    <w:rsid w:val="00FA2E19"/>
    <w:rsid w:val="00FA3DDB"/>
    <w:rsid w:val="00FB42AD"/>
    <w:rsid w:val="00FC50BF"/>
    <w:rsid w:val="00FD7FE0"/>
    <w:rsid w:val="00FE4E7A"/>
    <w:rsid w:val="00FF12EC"/>
    <w:rsid w:val="0A1AA394"/>
    <w:rsid w:val="22BF0062"/>
    <w:rsid w:val="435F4A31"/>
    <w:rsid w:val="4B998578"/>
    <w:rsid w:val="6453CF20"/>
    <w:rsid w:val="6746670A"/>
    <w:rsid w:val="7CA97651"/>
    <w:rsid w:val="7F159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97C6"/>
  <w15:chartTrackingRefBased/>
  <w15:docId w15:val="{0590BEE9-7D4C-46EC-8539-DF5A5996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103B"/>
    <w:pPr>
      <w:shd w:val="clear" w:color="auto" w:fill="FFFFFF"/>
      <w:spacing w:after="240" w:line="240" w:lineRule="auto"/>
      <w:outlineLvl w:val="1"/>
    </w:pPr>
    <w:rPr>
      <w:rFonts w:ascii="Arial" w:eastAsia="Times New Roman" w:hAnsi="Arial" w:cs="Arial"/>
      <w:b/>
      <w:bCs/>
      <w:color w:val="000000"/>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103B"/>
    <w:rPr>
      <w:rFonts w:ascii="Arial" w:eastAsia="Times New Roman" w:hAnsi="Arial" w:cs="Arial"/>
      <w:b/>
      <w:bCs/>
      <w:color w:val="000000"/>
      <w:shd w:val="clear" w:color="auto" w:fill="FFFFFF"/>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5B4E1C"/>
    <w:rPr>
      <w:rFonts w:ascii="Arial" w:eastAsia="Times New Roman" w:hAnsi="Arial" w:cs="Arial"/>
      <w:b/>
      <w:bCs/>
      <w:u w:val="single"/>
    </w:rPr>
  </w:style>
  <w:style w:type="paragraph" w:styleId="Title">
    <w:name w:val="Title"/>
    <w:basedOn w:val="Normal"/>
    <w:next w:val="Normal"/>
    <w:link w:val="TitleChar"/>
    <w:uiPriority w:val="10"/>
    <w:qFormat/>
    <w:rsid w:val="005B4E1C"/>
    <w:pPr>
      <w:jc w:val="center"/>
    </w:pPr>
    <w:rPr>
      <w:rFonts w:ascii="Arial" w:eastAsia="Times New Roman" w:hAnsi="Arial" w:cs="Arial"/>
      <w:b/>
      <w:bCs/>
      <w:u w:val="single"/>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CommentReference">
    <w:name w:val="annotation reference"/>
    <w:basedOn w:val="DefaultParagraphFont"/>
    <w:uiPriority w:val="99"/>
    <w:semiHidden/>
    <w:unhideWhenUsed/>
    <w:rsid w:val="002020E8"/>
    <w:rPr>
      <w:sz w:val="16"/>
      <w:szCs w:val="16"/>
    </w:rPr>
  </w:style>
  <w:style w:type="paragraph" w:styleId="CommentText">
    <w:name w:val="annotation text"/>
    <w:basedOn w:val="Normal"/>
    <w:link w:val="CommentTextChar"/>
    <w:uiPriority w:val="99"/>
    <w:unhideWhenUsed/>
    <w:rsid w:val="002020E8"/>
    <w:pPr>
      <w:spacing w:line="240" w:lineRule="auto"/>
    </w:pPr>
    <w:rPr>
      <w:sz w:val="20"/>
      <w:szCs w:val="20"/>
    </w:rPr>
  </w:style>
  <w:style w:type="character" w:customStyle="1" w:styleId="CommentTextChar">
    <w:name w:val="Comment Text Char"/>
    <w:basedOn w:val="DefaultParagraphFont"/>
    <w:link w:val="CommentText"/>
    <w:uiPriority w:val="99"/>
    <w:rsid w:val="002020E8"/>
    <w:rPr>
      <w:sz w:val="20"/>
      <w:szCs w:val="20"/>
    </w:rPr>
  </w:style>
  <w:style w:type="paragraph" w:styleId="CommentSubject">
    <w:name w:val="annotation subject"/>
    <w:basedOn w:val="CommentText"/>
    <w:next w:val="CommentText"/>
    <w:link w:val="CommentSubjectChar"/>
    <w:uiPriority w:val="99"/>
    <w:semiHidden/>
    <w:unhideWhenUsed/>
    <w:rsid w:val="002020E8"/>
    <w:rPr>
      <w:b/>
      <w:bCs/>
    </w:rPr>
  </w:style>
  <w:style w:type="character" w:customStyle="1" w:styleId="CommentSubjectChar">
    <w:name w:val="Comment Subject Char"/>
    <w:basedOn w:val="CommentTextChar"/>
    <w:link w:val="CommentSubject"/>
    <w:uiPriority w:val="99"/>
    <w:semiHidden/>
    <w:rsid w:val="002020E8"/>
    <w:rPr>
      <w:b/>
      <w:bCs/>
      <w:sz w:val="20"/>
      <w:szCs w:val="20"/>
    </w:rPr>
  </w:style>
  <w:style w:type="paragraph" w:styleId="BalloonText">
    <w:name w:val="Balloon Text"/>
    <w:basedOn w:val="Normal"/>
    <w:link w:val="BalloonTextChar"/>
    <w:uiPriority w:val="99"/>
    <w:semiHidden/>
    <w:unhideWhenUsed/>
    <w:rsid w:val="00FF1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2EC"/>
    <w:rPr>
      <w:rFonts w:ascii="Segoe UI" w:hAnsi="Segoe UI" w:cs="Segoe UI"/>
      <w:sz w:val="18"/>
      <w:szCs w:val="18"/>
    </w:rPr>
  </w:style>
  <w:style w:type="paragraph" w:styleId="Revision">
    <w:name w:val="Revision"/>
    <w:hidden/>
    <w:uiPriority w:val="99"/>
    <w:semiHidden/>
    <w:rsid w:val="003D5EB9"/>
    <w:pPr>
      <w:spacing w:after="0" w:line="240" w:lineRule="auto"/>
    </w:pPr>
  </w:style>
  <w:style w:type="paragraph" w:styleId="Header">
    <w:name w:val="header"/>
    <w:basedOn w:val="Normal"/>
    <w:link w:val="HeaderChar"/>
    <w:uiPriority w:val="99"/>
    <w:unhideWhenUsed/>
    <w:rsid w:val="00BE6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E3A"/>
  </w:style>
  <w:style w:type="paragraph" w:styleId="Footer">
    <w:name w:val="footer"/>
    <w:basedOn w:val="Normal"/>
    <w:link w:val="FooterChar"/>
    <w:uiPriority w:val="99"/>
    <w:unhideWhenUsed/>
    <w:rsid w:val="00BE6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E3A"/>
  </w:style>
  <w:style w:type="paragraph" w:styleId="NormalWeb">
    <w:name w:val="Normal (Web)"/>
    <w:basedOn w:val="Normal"/>
    <w:uiPriority w:val="99"/>
    <w:semiHidden/>
    <w:unhideWhenUsed/>
    <w:rsid w:val="001655DE"/>
    <w:rPr>
      <w:rFonts w:ascii="Times New Roman" w:hAnsi="Times New Roman" w:cs="Times New Roman"/>
    </w:rPr>
  </w:style>
  <w:style w:type="paragraph" w:styleId="ListParagraph">
    <w:name w:val="List Paragraph"/>
    <w:basedOn w:val="Normal"/>
    <w:uiPriority w:val="34"/>
    <w:qFormat/>
    <w:rsid w:val="00FC50BF"/>
    <w:pPr>
      <w:spacing w:line="278" w:lineRule="auto"/>
      <w:ind w:left="720"/>
      <w:contextualSpacing/>
    </w:pPr>
    <w:rPr>
      <w:rFonts w:eastAsiaTheme="minorHAnsi"/>
      <w:kern w:val="2"/>
      <w:lang w:eastAsia="en-US"/>
      <w14:ligatures w14:val="standardContextual"/>
    </w:rPr>
  </w:style>
  <w:style w:type="character" w:styleId="Hyperlink">
    <w:name w:val="Hyperlink"/>
    <w:basedOn w:val="DefaultParagraphFont"/>
    <w:uiPriority w:val="99"/>
    <w:unhideWhenUsed/>
    <w:rsid w:val="00FC50BF"/>
    <w:rPr>
      <w:color w:val="0000FF"/>
      <w:u w:val="single"/>
    </w:rPr>
  </w:style>
  <w:style w:type="character" w:styleId="FollowedHyperlink">
    <w:name w:val="FollowedHyperlink"/>
    <w:basedOn w:val="DefaultParagraphFont"/>
    <w:uiPriority w:val="99"/>
    <w:semiHidden/>
    <w:unhideWhenUsed/>
    <w:rsid w:val="000F6656"/>
    <w:rPr>
      <w:color w:val="96607D" w:themeColor="followedHyperlink"/>
      <w:u w:val="single"/>
    </w:rPr>
  </w:style>
  <w:style w:type="character" w:styleId="UnresolvedMention">
    <w:name w:val="Unresolved Mention"/>
    <w:basedOn w:val="DefaultParagraphFont"/>
    <w:uiPriority w:val="99"/>
    <w:semiHidden/>
    <w:unhideWhenUsed/>
    <w:rsid w:val="000F6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0474">
      <w:bodyDiv w:val="1"/>
      <w:marLeft w:val="0"/>
      <w:marRight w:val="0"/>
      <w:marTop w:val="0"/>
      <w:marBottom w:val="0"/>
      <w:divBdr>
        <w:top w:val="none" w:sz="0" w:space="0" w:color="auto"/>
        <w:left w:val="none" w:sz="0" w:space="0" w:color="auto"/>
        <w:bottom w:val="none" w:sz="0" w:space="0" w:color="auto"/>
        <w:right w:val="none" w:sz="0" w:space="0" w:color="auto"/>
      </w:divBdr>
    </w:div>
    <w:div w:id="386418900">
      <w:bodyDiv w:val="1"/>
      <w:marLeft w:val="0"/>
      <w:marRight w:val="0"/>
      <w:marTop w:val="0"/>
      <w:marBottom w:val="0"/>
      <w:divBdr>
        <w:top w:val="none" w:sz="0" w:space="0" w:color="auto"/>
        <w:left w:val="none" w:sz="0" w:space="0" w:color="auto"/>
        <w:bottom w:val="none" w:sz="0" w:space="0" w:color="auto"/>
        <w:right w:val="none" w:sz="0" w:space="0" w:color="auto"/>
      </w:divBdr>
    </w:div>
    <w:div w:id="1354306052">
      <w:bodyDiv w:val="1"/>
      <w:marLeft w:val="0"/>
      <w:marRight w:val="0"/>
      <w:marTop w:val="0"/>
      <w:marBottom w:val="0"/>
      <w:divBdr>
        <w:top w:val="none" w:sz="0" w:space="0" w:color="auto"/>
        <w:left w:val="none" w:sz="0" w:space="0" w:color="auto"/>
        <w:bottom w:val="none" w:sz="0" w:space="0" w:color="auto"/>
        <w:right w:val="none" w:sz="0" w:space="0" w:color="auto"/>
      </w:divBdr>
    </w:div>
    <w:div w:id="1535774186">
      <w:bodyDiv w:val="1"/>
      <w:marLeft w:val="0"/>
      <w:marRight w:val="0"/>
      <w:marTop w:val="0"/>
      <w:marBottom w:val="0"/>
      <w:divBdr>
        <w:top w:val="none" w:sz="0" w:space="0" w:color="auto"/>
        <w:left w:val="none" w:sz="0" w:space="0" w:color="auto"/>
        <w:bottom w:val="none" w:sz="0" w:space="0" w:color="auto"/>
        <w:right w:val="none" w:sz="0" w:space="0" w:color="auto"/>
      </w:divBdr>
      <w:divsChild>
        <w:div w:id="283116503">
          <w:marLeft w:val="0"/>
          <w:marRight w:val="0"/>
          <w:marTop w:val="0"/>
          <w:marBottom w:val="0"/>
          <w:divBdr>
            <w:top w:val="none" w:sz="0" w:space="0" w:color="auto"/>
            <w:left w:val="none" w:sz="0" w:space="0" w:color="auto"/>
            <w:bottom w:val="none" w:sz="0" w:space="0" w:color="auto"/>
            <w:right w:val="none" w:sz="0" w:space="0" w:color="auto"/>
          </w:divBdr>
          <w:divsChild>
            <w:div w:id="9598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4464">
      <w:bodyDiv w:val="1"/>
      <w:marLeft w:val="0"/>
      <w:marRight w:val="0"/>
      <w:marTop w:val="0"/>
      <w:marBottom w:val="0"/>
      <w:divBdr>
        <w:top w:val="none" w:sz="0" w:space="0" w:color="auto"/>
        <w:left w:val="none" w:sz="0" w:space="0" w:color="auto"/>
        <w:bottom w:val="none" w:sz="0" w:space="0" w:color="auto"/>
        <w:right w:val="none" w:sz="0" w:space="0" w:color="auto"/>
      </w:divBdr>
    </w:div>
    <w:div w:id="1891843981">
      <w:bodyDiv w:val="1"/>
      <w:marLeft w:val="0"/>
      <w:marRight w:val="0"/>
      <w:marTop w:val="0"/>
      <w:marBottom w:val="0"/>
      <w:divBdr>
        <w:top w:val="none" w:sz="0" w:space="0" w:color="auto"/>
        <w:left w:val="none" w:sz="0" w:space="0" w:color="auto"/>
        <w:bottom w:val="none" w:sz="0" w:space="0" w:color="auto"/>
        <w:right w:val="none" w:sz="0" w:space="0" w:color="auto"/>
      </w:divBdr>
    </w:div>
    <w:div w:id="19092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edf.org/protect-504/" TargetMode="External"/><Relationship Id="rId18" Type="http://schemas.openxmlformats.org/officeDocument/2006/relationships/hyperlink" Target="https://thearc.resourcespace.com/pages/search.php?k=0bcae0efde&amp;search=%21collection8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ederalregister.gov/d/2024-09237/p-62" TargetMode="External"/><Relationship Id="rId17" Type="http://schemas.openxmlformats.org/officeDocument/2006/relationships/hyperlink" Target="https://healthlaw.org/medicaid-action-month/" TargetMode="External"/><Relationship Id="rId2" Type="http://schemas.openxmlformats.org/officeDocument/2006/relationships/customXml" Target="../customXml/item2.xml"/><Relationship Id="rId16" Type="http://schemas.openxmlformats.org/officeDocument/2006/relationships/hyperlink" Target="https://dredf.org/hands-off-our-medica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edf.org/wp-content/uploads/2025/02/2025.02.21_Texas-v-Becerra_Case-Update.pdf" TargetMode="External"/><Relationship Id="rId5" Type="http://schemas.openxmlformats.org/officeDocument/2006/relationships/numbering" Target="numbering.xml"/><Relationship Id="rId15" Type="http://schemas.openxmlformats.org/officeDocument/2006/relationships/hyperlink" Target="https://public-inspection.federalregister.gov/2025-06127.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edf.org/wp-content/uploads/2025/04/2025-04-11_Joint-Status-Report.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2F8FAC221D34497FE25C305578C54" ma:contentTypeVersion="16" ma:contentTypeDescription="Create a new document." ma:contentTypeScope="" ma:versionID="82d665eae6101b8f476ff000b58955e8">
  <xsd:schema xmlns:xsd="http://www.w3.org/2001/XMLSchema" xmlns:xs="http://www.w3.org/2001/XMLSchema" xmlns:p="http://schemas.microsoft.com/office/2006/metadata/properties" xmlns:ns2="e5805ff7-bc01-4b14-b19f-7a86b8b70e8c" xmlns:ns3="12266775-0d52-46a1-8a41-3bd266e95af4" targetNamespace="http://schemas.microsoft.com/office/2006/metadata/properties" ma:root="true" ma:fieldsID="49623a17bdfd8671fa3019ae099b36ff" ns2:_="" ns3:_="">
    <xsd:import namespace="e5805ff7-bc01-4b14-b19f-7a86b8b70e8c"/>
    <xsd:import namespace="12266775-0d52-46a1-8a41-3bd266e95a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TO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05ff7-bc01-4b14-b19f-7a86b8b7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149630-0c72-479e-8743-bbe3298ca2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ODO" ma:index="23" nillable="true" ma:displayName="TO DO" ma:description="AL&#10;" ma:format="Dropdown" ma:internalName="TOD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66775-0d52-46a1-8a41-3bd266e95a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d1e8b0-b77a-4a1e-8347-5b42c4f6a9f1}" ma:internalName="TaxCatchAll" ma:showField="CatchAllData" ma:web="12266775-0d52-46a1-8a41-3bd266e95a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266775-0d52-46a1-8a41-3bd266e95af4" xsi:nil="true"/>
    <TODO xmlns="e5805ff7-bc01-4b14-b19f-7a86b8b70e8c" xsi:nil="true"/>
    <lcf76f155ced4ddcb4097134ff3c332f xmlns="e5805ff7-bc01-4b14-b19f-7a86b8b70e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53C8-8A39-4A08-9655-5A81E7A00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05ff7-bc01-4b14-b19f-7a86b8b70e8c"/>
    <ds:schemaRef ds:uri="12266775-0d52-46a1-8a41-3bd266e95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C4A9E-5344-426A-9D2C-F2CAE6A72A57}">
  <ds:schemaRefs>
    <ds:schemaRef ds:uri="http://schemas.microsoft.com/sharepoint/v3/contenttype/forms"/>
  </ds:schemaRefs>
</ds:datastoreItem>
</file>

<file path=customXml/itemProps3.xml><?xml version="1.0" encoding="utf-8"?>
<ds:datastoreItem xmlns:ds="http://schemas.openxmlformats.org/officeDocument/2006/customXml" ds:itemID="{87AA2E29-D7F7-443D-A584-99E19E654C25}">
  <ds:schemaRefs>
    <ds:schemaRef ds:uri="http://schemas.microsoft.com/office/2006/metadata/properties"/>
    <ds:schemaRef ds:uri="http://schemas.microsoft.com/office/infopath/2007/PartnerControls"/>
    <ds:schemaRef ds:uri="12266775-0d52-46a1-8a41-3bd266e95af4"/>
    <ds:schemaRef ds:uri="e5805ff7-bc01-4b14-b19f-7a86b8b70e8c"/>
  </ds:schemaRefs>
</ds:datastoreItem>
</file>

<file path=customXml/itemProps4.xml><?xml version="1.0" encoding="utf-8"?>
<ds:datastoreItem xmlns:ds="http://schemas.openxmlformats.org/officeDocument/2006/customXml" ds:itemID="{BD4DDBB0-8A58-4C39-987A-4FA01736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Arc, DREDF, Bazelon, CPR, NHeLP</dc:creator>
  <cp:keywords/>
  <dc:description/>
  <cp:lastModifiedBy>Tina Pinedo</cp:lastModifiedBy>
  <cp:revision>6</cp:revision>
  <cp:lastPrinted>2025-04-21T18:09:00Z</cp:lastPrinted>
  <dcterms:created xsi:type="dcterms:W3CDTF">2025-04-21T19:06:00Z</dcterms:created>
  <dcterms:modified xsi:type="dcterms:W3CDTF">2025-04-24T03:32:00Z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0x0101001EA2F8FAC221D34497FE25C305578C54</vt:lpwstr>
  </property>
  <property fmtid="{D5CDD505-2E9C-101B-9397-08002B2CF9AE}" pid="3" name="MediaServiceImageTags">
    <vt:lpwstr/>
  </property>
</Properties>
</file>