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3154BCA" w14:textId="36510AD3" w:rsidR="00B960CC" w:rsidRDefault="00DD72A9" w:rsidP="00425BDA">
      <w:pPr>
        <w:pStyle w:val="Title"/>
        <w:sectPr w:rsidR="00B960CC" w:rsidSect="00B960CC">
          <w:footerReference w:type="default" r:id="rId8"/>
          <w:pgSz w:w="12226" w:h="15840"/>
          <w:pgMar w:top="0" w:right="0" w:bottom="0" w:left="0" w:header="576" w:footer="576" w:gutter="0"/>
          <w:pgNumType w:start="1"/>
          <w:cols w:space="720"/>
          <w:docGrid w:linePitch="326"/>
        </w:sectPr>
      </w:pPr>
      <w:r>
        <w:rPr>
          <w:noProof/>
        </w:rPr>
        <w:drawing>
          <wp:inline distT="0" distB="0" distL="0" distR="0" wp14:anchorId="71AE4887" wp14:editId="4F2316DD">
            <wp:extent cx="7759700" cy="10033000"/>
            <wp:effectExtent l="0" t="0" r="0" b="0"/>
            <wp:docPr id="1469262763" name="Picture 1" descr="Cover of How Does Section 504 of the Rehabilitation Act Apply to Immigration? An Overview, dated July 2026 by the Disability Rights Education &amp; Defense Fund. There’s a montage of four photos: a silhouette outline of a person looking at the Statue of Liberty, a masculine-presenting person with a white cane listening to their smartphone in front of a body of water, a family of three outside a house, one of the parents uses a wheelchair, and a photo of a two people smiling at the came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62763" name="Picture 1" descr="Cover of How Does Section 504 of the Rehabilitation Act Apply to Immigration? An Overview, dated July 2026 by the Disability Rights Education &amp; Defense Fund. There’s a montage of four photos: a silhouette outline of a person looking at the Statue of Liberty, a masculine-presenting person with a white cane listening to their smartphone in front of a body of water, a family of three outside a house, one of the parents uses a wheelchair, and a photo of a two people smiling at the camera.&#10;"/>
                    <pic:cNvPicPr/>
                  </pic:nvPicPr>
                  <pic:blipFill>
                    <a:blip r:embed="rId9">
                      <a:extLst>
                        <a:ext uri="{28A0092B-C50C-407E-A947-70E740481C1C}">
                          <a14:useLocalDpi xmlns:a14="http://schemas.microsoft.com/office/drawing/2010/main" val="0"/>
                        </a:ext>
                      </a:extLst>
                    </a:blip>
                    <a:stretch>
                      <a:fillRect/>
                    </a:stretch>
                  </pic:blipFill>
                  <pic:spPr>
                    <a:xfrm>
                      <a:off x="0" y="0"/>
                      <a:ext cx="7759700" cy="10033000"/>
                    </a:xfrm>
                    <a:prstGeom prst="rect">
                      <a:avLst/>
                    </a:prstGeom>
                  </pic:spPr>
                </pic:pic>
              </a:graphicData>
            </a:graphic>
          </wp:inline>
        </w:drawing>
      </w:r>
    </w:p>
    <w:p w14:paraId="2AD9DE7D" w14:textId="066E16E4" w:rsidR="00B11B84" w:rsidRPr="00425BDA" w:rsidRDefault="00B53BE2" w:rsidP="00425BDA">
      <w:pPr>
        <w:pStyle w:val="Title"/>
      </w:pPr>
      <w:r w:rsidRPr="00425BDA">
        <w:lastRenderedPageBreak/>
        <w:t xml:space="preserve">How Does </w:t>
      </w:r>
      <w:r w:rsidR="009F2665" w:rsidRPr="00425BDA">
        <w:t xml:space="preserve">Section 504 </w:t>
      </w:r>
      <w:r w:rsidRPr="00425BDA">
        <w:t>of the Rehabilitation Act</w:t>
      </w:r>
      <w:r w:rsidR="00D71FA8" w:rsidRPr="00425BDA">
        <w:t xml:space="preserve"> </w:t>
      </w:r>
      <w:r w:rsidR="00D71FA8" w:rsidRPr="00425BDA">
        <w:br/>
      </w:r>
      <w:r w:rsidRPr="00425BDA">
        <w:t xml:space="preserve">Apply </w:t>
      </w:r>
      <w:r w:rsidR="009F2665" w:rsidRPr="00425BDA">
        <w:t>to Immigration</w:t>
      </w:r>
      <w:r w:rsidRPr="00425BDA">
        <w:t>? An Overview</w:t>
      </w:r>
    </w:p>
    <w:p w14:paraId="3EC210A9" w14:textId="3025A384" w:rsidR="00A76108" w:rsidRPr="000121C8" w:rsidRDefault="00A76108" w:rsidP="00D71FA8">
      <w:pPr>
        <w:widowControl w:val="0"/>
        <w:spacing w:after="240"/>
        <w:rPr>
          <w:rFonts w:ascii="Myriad Pro" w:hAnsi="Myriad Pro"/>
        </w:rPr>
      </w:pPr>
      <w:r w:rsidRPr="000121C8">
        <w:rPr>
          <w:rFonts w:ascii="Myriad Pro" w:hAnsi="Myriad Pro"/>
        </w:rPr>
        <w:t xml:space="preserve">A large proportion of immigrants who are interacting with federal immigration agencies have disabilities. This is particularly true </w:t>
      </w:r>
      <w:r w:rsidR="00FE7CFE" w:rsidRPr="000121C8">
        <w:rPr>
          <w:rFonts w:ascii="Myriad Pro" w:hAnsi="Myriad Pro"/>
        </w:rPr>
        <w:t>for asylum seekers</w:t>
      </w:r>
      <w:r w:rsidR="002D0069" w:rsidRPr="000121C8">
        <w:rPr>
          <w:rFonts w:ascii="Myriad Pro" w:hAnsi="Myriad Pro"/>
        </w:rPr>
        <w:t>,</w:t>
      </w:r>
      <w:r w:rsidR="00FE7CFE" w:rsidRPr="000121C8">
        <w:rPr>
          <w:rFonts w:ascii="Myriad Pro" w:hAnsi="Myriad Pro"/>
        </w:rPr>
        <w:t xml:space="preserve"> refugees, and those </w:t>
      </w:r>
      <w:r w:rsidR="002D0069" w:rsidRPr="000121C8">
        <w:rPr>
          <w:rFonts w:ascii="Myriad Pro" w:hAnsi="Myriad Pro"/>
        </w:rPr>
        <w:t xml:space="preserve">who are </w:t>
      </w:r>
      <w:r w:rsidR="00FE7CFE" w:rsidRPr="000121C8">
        <w:rPr>
          <w:rFonts w:ascii="Myriad Pro" w:hAnsi="Myriad Pro"/>
        </w:rPr>
        <w:t>detained in immigration detention facilities.</w:t>
      </w:r>
      <w:r w:rsidR="00FE7CFE" w:rsidRPr="000121C8">
        <w:rPr>
          <w:rStyle w:val="FootnoteReference"/>
          <w:rFonts w:ascii="Myriad Pro" w:hAnsi="Myriad Pro"/>
        </w:rPr>
        <w:footnoteReference w:id="1"/>
      </w:r>
      <w:r w:rsidR="00FE7CFE" w:rsidRPr="000121C8">
        <w:rPr>
          <w:rFonts w:ascii="Myriad Pro" w:hAnsi="Myriad Pro"/>
        </w:rPr>
        <w:t xml:space="preserve"> </w:t>
      </w:r>
    </w:p>
    <w:p w14:paraId="43A04F12" w14:textId="2EFEBD25" w:rsidR="00B11B84" w:rsidRPr="000121C8" w:rsidRDefault="00000000" w:rsidP="00D71FA8">
      <w:pPr>
        <w:widowControl w:val="0"/>
        <w:spacing w:after="240"/>
        <w:rPr>
          <w:rFonts w:ascii="Myriad Pro" w:hAnsi="Myriad Pro"/>
        </w:rPr>
      </w:pPr>
      <w:r w:rsidRPr="000121C8">
        <w:rPr>
          <w:rFonts w:ascii="Myriad Pro" w:hAnsi="Myriad Pro"/>
        </w:rPr>
        <w:t>Section 504</w:t>
      </w:r>
      <w:r w:rsidR="007C2B76" w:rsidRPr="000121C8">
        <w:rPr>
          <w:rFonts w:ascii="Myriad Pro" w:hAnsi="Myriad Pro"/>
        </w:rPr>
        <w:t xml:space="preserve"> of the Rehabilitation Act of 1973, 29 U.S.C. § 794(a), prohibits disability discrimination by federal agencies</w:t>
      </w:r>
      <w:r w:rsidR="00BF517E" w:rsidRPr="000121C8">
        <w:rPr>
          <w:rFonts w:ascii="Myriad Pro" w:hAnsi="Myriad Pro"/>
        </w:rPr>
        <w:t xml:space="preserve">. The law covers </w:t>
      </w:r>
      <w:r w:rsidR="007C2B76" w:rsidRPr="000121C8">
        <w:rPr>
          <w:rFonts w:ascii="Myriad Pro" w:hAnsi="Myriad Pro"/>
        </w:rPr>
        <w:t xml:space="preserve">the two federal agencies most directly involved with immigration: </w:t>
      </w:r>
    </w:p>
    <w:p w14:paraId="5A43D46C" w14:textId="6E32871F" w:rsidR="007C2B76" w:rsidRPr="00425BDA" w:rsidRDefault="007C2B76" w:rsidP="00425BDA">
      <w:pPr>
        <w:pStyle w:val="ListParagraph"/>
        <w:widowControl w:val="0"/>
        <w:numPr>
          <w:ilvl w:val="0"/>
          <w:numId w:val="16"/>
        </w:numPr>
        <w:spacing w:after="240"/>
        <w:ind w:left="720"/>
        <w:rPr>
          <w:rFonts w:ascii="Myriad Pro" w:hAnsi="Myriad Pro"/>
          <w:sz w:val="24"/>
          <w:szCs w:val="24"/>
        </w:rPr>
      </w:pPr>
      <w:r w:rsidRPr="00425BDA">
        <w:rPr>
          <w:rFonts w:ascii="Myriad Pro" w:hAnsi="Myriad Pro"/>
          <w:sz w:val="24"/>
          <w:szCs w:val="24"/>
        </w:rPr>
        <w:t>U.S. Department of Justice (“DOJ”), which includes the Executive Office for Immigration Review (“EOIR”)</w:t>
      </w:r>
      <w:r w:rsidR="00901846" w:rsidRPr="00425BDA">
        <w:rPr>
          <w:rFonts w:ascii="Myriad Pro" w:hAnsi="Myriad Pro"/>
          <w:sz w:val="24"/>
          <w:szCs w:val="24"/>
        </w:rPr>
        <w:t xml:space="preserve"> and the Board of Immigration Appeals (BIA)</w:t>
      </w:r>
    </w:p>
    <w:p w14:paraId="7BFF4C28" w14:textId="77777777" w:rsidR="00913C48" w:rsidRPr="00425BDA" w:rsidRDefault="00913C48" w:rsidP="00425BDA">
      <w:pPr>
        <w:pStyle w:val="ListParagraph"/>
        <w:widowControl w:val="0"/>
        <w:spacing w:after="240" w:line="240" w:lineRule="auto"/>
        <w:ind w:left="0"/>
        <w:rPr>
          <w:rFonts w:ascii="Myriad Pro" w:hAnsi="Myriad Pro"/>
          <w:sz w:val="4"/>
          <w:szCs w:val="4"/>
        </w:rPr>
      </w:pPr>
    </w:p>
    <w:p w14:paraId="23F9668F" w14:textId="5B88E593" w:rsidR="00B11B84" w:rsidRPr="00425BDA" w:rsidRDefault="007C2B76" w:rsidP="00425BDA">
      <w:pPr>
        <w:pStyle w:val="ListParagraph"/>
        <w:widowControl w:val="0"/>
        <w:numPr>
          <w:ilvl w:val="0"/>
          <w:numId w:val="16"/>
        </w:numPr>
        <w:spacing w:after="240"/>
        <w:ind w:left="720"/>
        <w:rPr>
          <w:rFonts w:ascii="Myriad Pro" w:hAnsi="Myriad Pro"/>
          <w:sz w:val="24"/>
          <w:szCs w:val="24"/>
        </w:rPr>
      </w:pPr>
      <w:r w:rsidRPr="00425BDA">
        <w:rPr>
          <w:rFonts w:ascii="Myriad Pro" w:hAnsi="Myriad Pro"/>
          <w:sz w:val="24"/>
          <w:szCs w:val="24"/>
        </w:rPr>
        <w:t>U.S. Department of Homeland Security (“DHS”), which includes Immigration and Customs Enforcement (“ICE”)</w:t>
      </w:r>
      <w:r w:rsidR="00F94E12" w:rsidRPr="00425BDA">
        <w:rPr>
          <w:rFonts w:ascii="Myriad Pro" w:hAnsi="Myriad Pro"/>
          <w:sz w:val="24"/>
          <w:szCs w:val="24"/>
        </w:rPr>
        <w:t>,</w:t>
      </w:r>
      <w:r w:rsidRPr="00425BDA">
        <w:rPr>
          <w:rFonts w:ascii="Myriad Pro" w:hAnsi="Myriad Pro"/>
          <w:sz w:val="24"/>
          <w:szCs w:val="24"/>
        </w:rPr>
        <w:t xml:space="preserve"> U.S. Citizenship and Immigration Services (“USCIS”)</w:t>
      </w:r>
      <w:r w:rsidR="00F94E12" w:rsidRPr="00425BDA">
        <w:rPr>
          <w:rFonts w:ascii="Myriad Pro" w:hAnsi="Myriad Pro"/>
          <w:sz w:val="24"/>
          <w:szCs w:val="24"/>
        </w:rPr>
        <w:t>, and U.S. Customs &amp; Border Protection (“CBP”)</w:t>
      </w:r>
    </w:p>
    <w:p w14:paraId="7E89E804" w14:textId="2DDC2F77" w:rsidR="00C551C7" w:rsidRPr="000121C8" w:rsidRDefault="007C2B76" w:rsidP="00D71FA8">
      <w:pPr>
        <w:widowControl w:val="0"/>
        <w:spacing w:after="240"/>
        <w:rPr>
          <w:rFonts w:ascii="Myriad Pro" w:hAnsi="Myriad Pro"/>
        </w:rPr>
      </w:pPr>
      <w:r w:rsidRPr="000121C8">
        <w:rPr>
          <w:rFonts w:ascii="Myriad Pro" w:hAnsi="Myriad Pro"/>
        </w:rPr>
        <w:t xml:space="preserve">Section 504 and its implementing regulations set out the disability nondiscrimination standards that federal agencies </w:t>
      </w:r>
      <w:r w:rsidR="00970D85" w:rsidRPr="000121C8">
        <w:rPr>
          <w:rFonts w:ascii="Myriad Pro" w:hAnsi="Myriad Pro"/>
        </w:rPr>
        <w:t xml:space="preserve">like DOJ and DHS </w:t>
      </w:r>
      <w:r w:rsidRPr="000121C8">
        <w:rPr>
          <w:rFonts w:ascii="Myriad Pro" w:hAnsi="Myriad Pro"/>
        </w:rPr>
        <w:t xml:space="preserve">must follow. </w:t>
      </w:r>
      <w:r w:rsidR="004F266A" w:rsidRPr="000121C8">
        <w:rPr>
          <w:rFonts w:ascii="Myriad Pro" w:hAnsi="Myriad Pro"/>
        </w:rPr>
        <w:t xml:space="preserve">Each agency has its own Section 504 regulations. </w:t>
      </w:r>
      <w:r w:rsidRPr="000121C8">
        <w:rPr>
          <w:rFonts w:ascii="Myriad Pro" w:hAnsi="Myriad Pro"/>
        </w:rPr>
        <w:t xml:space="preserve">See 28 C.F.R. </w:t>
      </w:r>
      <w:r w:rsidR="00AB2493" w:rsidRPr="000121C8">
        <w:rPr>
          <w:rFonts w:ascii="Myriad Pro" w:hAnsi="Myriad Pro"/>
        </w:rPr>
        <w:t xml:space="preserve">Part 39 </w:t>
      </w:r>
      <w:r w:rsidRPr="000121C8">
        <w:rPr>
          <w:rFonts w:ascii="Myriad Pro" w:hAnsi="Myriad Pro"/>
        </w:rPr>
        <w:t xml:space="preserve">(prohibiting disability discrimination by the Department of Justice); 6 C.F.R. </w:t>
      </w:r>
      <w:r w:rsidR="00AB2493" w:rsidRPr="000121C8">
        <w:rPr>
          <w:rFonts w:ascii="Myriad Pro" w:hAnsi="Myriad Pro"/>
        </w:rPr>
        <w:t xml:space="preserve">Part 15 </w:t>
      </w:r>
      <w:r w:rsidRPr="000121C8">
        <w:rPr>
          <w:rFonts w:ascii="Myriad Pro" w:hAnsi="Myriad Pro"/>
        </w:rPr>
        <w:t>(prohibiting disability discrimination by the Department of Homeland Security).</w:t>
      </w:r>
      <w:r w:rsidR="00C551C7" w:rsidRPr="000121C8">
        <w:rPr>
          <w:rFonts w:ascii="Myriad Pro" w:hAnsi="Myriad Pro"/>
        </w:rPr>
        <w:t xml:space="preserve"> </w:t>
      </w:r>
      <w:r w:rsidR="00AD791D" w:rsidRPr="000121C8">
        <w:rPr>
          <w:rFonts w:ascii="Myriad Pro" w:hAnsi="Myriad Pro"/>
        </w:rPr>
        <w:t>Under the applicable regulations, no person with a disability may, based on disability, “be excluded from participation in, be denied the benefits of, or otherwise be subjected to discrimination under any program or activity conducted by the agency.” 28 C.F.R. § 39.130(a); 6 C.F.R. § 15.30(a).</w:t>
      </w:r>
      <w:r w:rsidR="00AD791D" w:rsidRPr="000121C8">
        <w:rPr>
          <w:rStyle w:val="FootnoteReference"/>
          <w:rFonts w:ascii="Myriad Pro" w:hAnsi="Myriad Pro"/>
        </w:rPr>
        <w:footnoteReference w:id="2"/>
      </w:r>
    </w:p>
    <w:p w14:paraId="40A07EE2" w14:textId="7315B3C1" w:rsidR="004D65EA" w:rsidRPr="000121C8" w:rsidRDefault="00C551C7" w:rsidP="00D71FA8">
      <w:pPr>
        <w:widowControl w:val="0"/>
        <w:spacing w:after="240"/>
        <w:rPr>
          <w:rFonts w:ascii="Myriad Pro" w:hAnsi="Myriad Pro"/>
        </w:rPr>
      </w:pPr>
      <w:r w:rsidRPr="000121C8">
        <w:rPr>
          <w:rFonts w:ascii="Myriad Pro" w:hAnsi="Myriad Pro"/>
        </w:rPr>
        <w:t>The disability nondiscrimination rules apply to every program or activity of the immigration system</w:t>
      </w:r>
      <w:r w:rsidR="006B3152" w:rsidRPr="000121C8">
        <w:rPr>
          <w:rFonts w:ascii="Myriad Pro" w:hAnsi="Myriad Pro"/>
        </w:rPr>
        <w:t xml:space="preserve"> under DOJ and DHS</w:t>
      </w:r>
      <w:r w:rsidRPr="000121C8">
        <w:rPr>
          <w:rFonts w:ascii="Myriad Pro" w:hAnsi="Myriad Pro"/>
        </w:rPr>
        <w:t>, including immigration proceedings, adjustment of status, naturalization</w:t>
      </w:r>
      <w:r w:rsidR="008F5541" w:rsidRPr="000121C8">
        <w:rPr>
          <w:rFonts w:ascii="Myriad Pro" w:hAnsi="Myriad Pro"/>
        </w:rPr>
        <w:t>, immigration detention,</w:t>
      </w:r>
      <w:r w:rsidR="007970D7" w:rsidRPr="000121C8">
        <w:rPr>
          <w:rStyle w:val="FootnoteReference"/>
          <w:rFonts w:ascii="Myriad Pro" w:hAnsi="Myriad Pro"/>
        </w:rPr>
        <w:footnoteReference w:id="3"/>
      </w:r>
      <w:r w:rsidR="008F5541" w:rsidRPr="000121C8">
        <w:rPr>
          <w:rFonts w:ascii="Myriad Pro" w:hAnsi="Myriad Pro"/>
        </w:rPr>
        <w:t xml:space="preserve"> and interactions with officials and staff</w:t>
      </w:r>
      <w:r w:rsidR="006B3152" w:rsidRPr="000121C8">
        <w:rPr>
          <w:rFonts w:ascii="Myriad Pro" w:hAnsi="Myriad Pro"/>
        </w:rPr>
        <w:t>.</w:t>
      </w:r>
    </w:p>
    <w:p w14:paraId="4C52E9A5" w14:textId="2DCA52E9" w:rsidR="004E50B4" w:rsidRPr="00D71FA8" w:rsidRDefault="004E50B4" w:rsidP="00425BDA">
      <w:pPr>
        <w:pStyle w:val="Heading1"/>
      </w:pPr>
      <w:r w:rsidRPr="00D71FA8">
        <w:lastRenderedPageBreak/>
        <w:t>Individual with a “Disability”</w:t>
      </w:r>
    </w:p>
    <w:p w14:paraId="03AD5A42" w14:textId="6C211F17" w:rsidR="004E50B4" w:rsidRPr="000121C8" w:rsidRDefault="004E50B4" w:rsidP="00D71FA8">
      <w:pPr>
        <w:widowControl w:val="0"/>
        <w:spacing w:after="240"/>
        <w:rPr>
          <w:rFonts w:ascii="Myriad Pro" w:hAnsi="Myriad Pro"/>
        </w:rPr>
      </w:pPr>
      <w:r w:rsidRPr="000121C8">
        <w:rPr>
          <w:rFonts w:ascii="Myriad Pro" w:hAnsi="Myriad Pro"/>
        </w:rPr>
        <w:t>Section 504 protects people with a broad range of disabilities. In 2008, Congress passed the ADA Amendments Act, which added rules of broad construction and clarified that the definition of “disability” for the ADA and for Section 504 of the Rehabilitation Act “shall be construed in favor of broad coverage of individuals under this chapter, to the maximum extent permitted by the terms of this chapter.” 42 U.S.C. § 12102(4)(A).</w:t>
      </w:r>
    </w:p>
    <w:p w14:paraId="507EA1FE" w14:textId="4DB2B7CE" w:rsidR="004E50B4" w:rsidRPr="000121C8" w:rsidRDefault="004E50B4" w:rsidP="00D71FA8">
      <w:pPr>
        <w:widowControl w:val="0"/>
        <w:spacing w:after="240"/>
        <w:rPr>
          <w:rFonts w:ascii="Myriad Pro" w:hAnsi="Myriad Pro"/>
        </w:rPr>
      </w:pPr>
      <w:r w:rsidRPr="000121C8">
        <w:rPr>
          <w:rFonts w:ascii="Myriad Pro" w:hAnsi="Myriad Pro"/>
        </w:rPr>
        <w:t xml:space="preserve">In practice, this means that people with a broad range of mental and physical conditions are protected by federal civil rights laws. The following conditions and similar impairments can be “disabilities” under Section 504: PTSD, bipolar disorder, schizophrenia, depression, generalized anxiety disorder, OCD, traumatic brain injury, autism, intellectual and developmental disabilities, mobility disabilities, deafness, blindness, learning disabilities, dyslexia, ADHD, dementia, Alzheimer’s disease, chronic diseases like asthma, COPD, diabetes, high blood pressure, kidney disease, and Long COVID, and cancer or history of cancer. </w:t>
      </w:r>
      <w:r w:rsidRPr="000121C8">
        <w:rPr>
          <w:rFonts w:ascii="Myriad Pro" w:hAnsi="Myriad Pro"/>
          <w:i/>
          <w:iCs/>
        </w:rPr>
        <w:t xml:space="preserve">See also </w:t>
      </w:r>
      <w:r w:rsidRPr="000121C8">
        <w:rPr>
          <w:rFonts w:ascii="Myriad Pro" w:hAnsi="Myriad Pro"/>
        </w:rPr>
        <w:t xml:space="preserve">28 C.F.R. § 35.108 (DOJ regulation implementing ADA Amendments Act). </w:t>
      </w:r>
    </w:p>
    <w:p w14:paraId="1DD726B4" w14:textId="5C423CD1" w:rsidR="00B11B84" w:rsidRPr="00D71FA8" w:rsidRDefault="00FC29ED" w:rsidP="00425BDA">
      <w:pPr>
        <w:pStyle w:val="Heading1"/>
      </w:pPr>
      <w:r w:rsidRPr="000121C8">
        <w:t xml:space="preserve">Disability </w:t>
      </w:r>
      <w:r w:rsidR="00522D59" w:rsidRPr="000121C8">
        <w:t>Non-</w:t>
      </w:r>
      <w:r w:rsidRPr="000121C8">
        <w:t>Discrimination</w:t>
      </w:r>
      <w:r w:rsidR="00522D59" w:rsidRPr="000121C8">
        <w:t xml:space="preserve"> Rules</w:t>
      </w:r>
    </w:p>
    <w:p w14:paraId="7F30B93E" w14:textId="2708CFE9" w:rsidR="00B11B84" w:rsidRPr="000121C8" w:rsidRDefault="007C2B76" w:rsidP="00D71FA8">
      <w:pPr>
        <w:widowControl w:val="0"/>
        <w:spacing w:after="240"/>
        <w:rPr>
          <w:rFonts w:ascii="Myriad Pro" w:hAnsi="Myriad Pro"/>
        </w:rPr>
      </w:pPr>
      <w:r w:rsidRPr="000121C8">
        <w:rPr>
          <w:rFonts w:ascii="Myriad Pro" w:hAnsi="Myriad Pro"/>
        </w:rPr>
        <w:t xml:space="preserve">These rules prohibit various forms of </w:t>
      </w:r>
      <w:r w:rsidR="009B513C" w:rsidRPr="000121C8">
        <w:rPr>
          <w:rFonts w:ascii="Myriad Pro" w:hAnsi="Myriad Pro"/>
        </w:rPr>
        <w:t xml:space="preserve">intentional and unintentional </w:t>
      </w:r>
      <w:r w:rsidRPr="000121C8">
        <w:rPr>
          <w:rFonts w:ascii="Myriad Pro" w:hAnsi="Myriad Pro"/>
        </w:rPr>
        <w:t xml:space="preserve">disability discrimination, </w:t>
      </w:r>
      <w:r w:rsidR="00970D85" w:rsidRPr="000121C8">
        <w:rPr>
          <w:rFonts w:ascii="Myriad Pro" w:hAnsi="Myriad Pro"/>
        </w:rPr>
        <w:t xml:space="preserve">including </w:t>
      </w:r>
      <w:r w:rsidR="004F266A" w:rsidRPr="000121C8">
        <w:rPr>
          <w:rFonts w:ascii="Myriad Pro" w:hAnsi="Myriad Pro"/>
        </w:rPr>
        <w:t xml:space="preserve">through </w:t>
      </w:r>
      <w:r w:rsidR="00970D85" w:rsidRPr="000121C8">
        <w:rPr>
          <w:rFonts w:ascii="Myriad Pro" w:hAnsi="Myriad Pro"/>
        </w:rPr>
        <w:t xml:space="preserve">direct </w:t>
      </w:r>
      <w:r w:rsidR="00E156A8" w:rsidRPr="000121C8">
        <w:rPr>
          <w:rFonts w:ascii="Myriad Pro" w:hAnsi="Myriad Pro"/>
        </w:rPr>
        <w:t xml:space="preserve">and </w:t>
      </w:r>
      <w:r w:rsidR="00970D85" w:rsidRPr="000121C8">
        <w:rPr>
          <w:rFonts w:ascii="Myriad Pro" w:hAnsi="Myriad Pro"/>
        </w:rPr>
        <w:t xml:space="preserve">indirect </w:t>
      </w:r>
      <w:r w:rsidR="004F266A" w:rsidRPr="000121C8">
        <w:rPr>
          <w:rFonts w:ascii="Myriad Pro" w:hAnsi="Myriad Pro"/>
        </w:rPr>
        <w:t>means</w:t>
      </w:r>
      <w:r w:rsidR="00970D85" w:rsidRPr="000121C8">
        <w:rPr>
          <w:rFonts w:ascii="Myriad Pro" w:hAnsi="Myriad Pro"/>
        </w:rPr>
        <w:t xml:space="preserve">. </w:t>
      </w:r>
      <w:r w:rsidR="00B50513" w:rsidRPr="000121C8">
        <w:rPr>
          <w:rFonts w:ascii="Myriad Pro" w:hAnsi="Myriad Pro"/>
        </w:rPr>
        <w:t xml:space="preserve">Agencies must </w:t>
      </w:r>
      <w:r w:rsidRPr="000121C8">
        <w:rPr>
          <w:rFonts w:ascii="Myriad Pro" w:hAnsi="Myriad Pro"/>
        </w:rPr>
        <w:t xml:space="preserve">take affirmative steps to provide reasonable </w:t>
      </w:r>
      <w:r w:rsidR="00E156A8" w:rsidRPr="000121C8">
        <w:rPr>
          <w:rFonts w:ascii="Myriad Pro" w:hAnsi="Myriad Pro"/>
        </w:rPr>
        <w:t>accommodations that disabled people need to access programs and avoid discrimination</w:t>
      </w:r>
      <w:r w:rsidR="00AB2493" w:rsidRPr="000121C8">
        <w:rPr>
          <w:rFonts w:ascii="Myriad Pro" w:hAnsi="Myriad Pro"/>
        </w:rPr>
        <w:t xml:space="preserve"> and to ensure that communication with people with disabilities is effective.</w:t>
      </w:r>
      <w:r w:rsidR="00470E6A" w:rsidRPr="000121C8">
        <w:rPr>
          <w:rFonts w:ascii="Myriad Pro" w:hAnsi="Myriad Pro"/>
        </w:rPr>
        <w:t xml:space="preserve"> </w:t>
      </w:r>
      <w:r w:rsidR="001D7315" w:rsidRPr="000121C8">
        <w:rPr>
          <w:rFonts w:ascii="Myriad Pro" w:hAnsi="Myriad Pro"/>
        </w:rPr>
        <w:t>DHS policy documents review these obligations.</w:t>
      </w:r>
      <w:r w:rsidR="001D7315" w:rsidRPr="000121C8">
        <w:rPr>
          <w:rStyle w:val="FootnoteReference"/>
          <w:rFonts w:ascii="Myriad Pro" w:hAnsi="Myriad Pro"/>
        </w:rPr>
        <w:footnoteReference w:id="4"/>
      </w:r>
      <w:r w:rsidR="001D7315" w:rsidRPr="000121C8">
        <w:rPr>
          <w:rFonts w:ascii="Myriad Pro" w:hAnsi="Myriad Pro"/>
        </w:rPr>
        <w:t xml:space="preserve"> </w:t>
      </w:r>
    </w:p>
    <w:p w14:paraId="1D6D1BD2" w14:textId="549F520A" w:rsidR="00B11B84" w:rsidRPr="00D71FA8" w:rsidRDefault="004F266A" w:rsidP="00D71FA8">
      <w:pPr>
        <w:widowControl w:val="0"/>
        <w:spacing w:after="240"/>
        <w:rPr>
          <w:rFonts w:ascii="Myriad Pro" w:hAnsi="Myriad Pro"/>
        </w:rPr>
      </w:pPr>
      <w:r w:rsidRPr="000121C8">
        <w:rPr>
          <w:rFonts w:ascii="Myriad Pro" w:hAnsi="Myriad Pro"/>
        </w:rPr>
        <w:t xml:space="preserve">Specific </w:t>
      </w:r>
      <w:r w:rsidR="00316797" w:rsidRPr="000121C8">
        <w:rPr>
          <w:rFonts w:ascii="Myriad Pro" w:hAnsi="Myriad Pro"/>
        </w:rPr>
        <w:t xml:space="preserve">regulatory </w:t>
      </w:r>
      <w:r w:rsidRPr="000121C8">
        <w:rPr>
          <w:rFonts w:ascii="Myriad Pro" w:hAnsi="Myriad Pro"/>
        </w:rPr>
        <w:t>prohibitions include:</w:t>
      </w:r>
    </w:p>
    <w:p w14:paraId="45AF3A92" w14:textId="537F6028" w:rsidR="00BF517E" w:rsidRPr="000121C8" w:rsidRDefault="00BF517E" w:rsidP="00D71FA8">
      <w:pPr>
        <w:pStyle w:val="ListParagraph"/>
        <w:widowControl w:val="0"/>
        <w:numPr>
          <w:ilvl w:val="0"/>
          <w:numId w:val="4"/>
        </w:numPr>
        <w:spacing w:after="240" w:line="240" w:lineRule="auto"/>
        <w:rPr>
          <w:rFonts w:ascii="Myriad Pro" w:hAnsi="Myriad Pro"/>
          <w:sz w:val="24"/>
          <w:szCs w:val="24"/>
        </w:rPr>
      </w:pPr>
      <w:r w:rsidRPr="000121C8">
        <w:rPr>
          <w:rFonts w:ascii="Myriad Pro" w:hAnsi="Myriad Pro"/>
          <w:sz w:val="24"/>
          <w:szCs w:val="24"/>
        </w:rPr>
        <w:t>An agency may not directly or through contractual</w:t>
      </w:r>
      <w:r w:rsidR="007B0202" w:rsidRPr="000121C8">
        <w:rPr>
          <w:rFonts w:ascii="Myriad Pro" w:hAnsi="Myriad Pro"/>
          <w:sz w:val="24"/>
          <w:szCs w:val="24"/>
        </w:rPr>
        <w:t xml:space="preserve"> </w:t>
      </w:r>
      <w:r w:rsidRPr="000121C8">
        <w:rPr>
          <w:rFonts w:ascii="Myriad Pro" w:hAnsi="Myriad Pro"/>
          <w:sz w:val="24"/>
          <w:szCs w:val="24"/>
        </w:rPr>
        <w:t xml:space="preserve">or other arrangements deny a disabled person the opportunity to participate in or benefit from </w:t>
      </w:r>
      <w:r w:rsidR="002B75F0" w:rsidRPr="000121C8">
        <w:rPr>
          <w:rFonts w:ascii="Myriad Pro" w:hAnsi="Myriad Pro"/>
          <w:sz w:val="24"/>
          <w:szCs w:val="24"/>
        </w:rPr>
        <w:t>aid</w:t>
      </w:r>
      <w:r w:rsidR="00026BBD" w:rsidRPr="000121C8">
        <w:rPr>
          <w:rFonts w:ascii="Myriad Pro" w:hAnsi="Myriad Pro"/>
          <w:sz w:val="24"/>
          <w:szCs w:val="24"/>
        </w:rPr>
        <w:t>s</w:t>
      </w:r>
      <w:r w:rsidR="002B75F0" w:rsidRPr="000121C8">
        <w:rPr>
          <w:rFonts w:ascii="Myriad Pro" w:hAnsi="Myriad Pro"/>
          <w:sz w:val="24"/>
          <w:szCs w:val="24"/>
        </w:rPr>
        <w:t>, benefit</w:t>
      </w:r>
      <w:r w:rsidR="00026BBD" w:rsidRPr="000121C8">
        <w:rPr>
          <w:rFonts w:ascii="Myriad Pro" w:hAnsi="Myriad Pro"/>
          <w:sz w:val="24"/>
          <w:szCs w:val="24"/>
        </w:rPr>
        <w:t>s</w:t>
      </w:r>
      <w:r w:rsidR="002B75F0" w:rsidRPr="000121C8">
        <w:rPr>
          <w:rFonts w:ascii="Myriad Pro" w:hAnsi="Myriad Pro"/>
          <w:sz w:val="24"/>
          <w:szCs w:val="24"/>
        </w:rPr>
        <w:t xml:space="preserve">, or </w:t>
      </w:r>
      <w:r w:rsidR="008F03C0" w:rsidRPr="000121C8">
        <w:rPr>
          <w:rFonts w:ascii="Myriad Pro" w:hAnsi="Myriad Pro"/>
          <w:sz w:val="24"/>
          <w:szCs w:val="24"/>
        </w:rPr>
        <w:t>services</w:t>
      </w:r>
      <w:r w:rsidR="002B75F0" w:rsidRPr="000121C8">
        <w:rPr>
          <w:rFonts w:ascii="Myriad Pro" w:hAnsi="Myriad Pro"/>
          <w:sz w:val="24"/>
          <w:szCs w:val="24"/>
        </w:rPr>
        <w:t xml:space="preserve"> </w:t>
      </w:r>
      <w:r w:rsidRPr="000121C8">
        <w:rPr>
          <w:rFonts w:ascii="Myriad Pro" w:hAnsi="Myriad Pro"/>
          <w:sz w:val="24"/>
          <w:szCs w:val="24"/>
        </w:rPr>
        <w:t xml:space="preserve">on terms that are equal and as effective as those provided to </w:t>
      </w:r>
      <w:r w:rsidR="002B75F0" w:rsidRPr="000121C8">
        <w:rPr>
          <w:rFonts w:ascii="Myriad Pro" w:hAnsi="Myriad Pro"/>
          <w:sz w:val="24"/>
          <w:szCs w:val="24"/>
        </w:rPr>
        <w:t>people without disabilities. 28 C.F.R. § 39.130(b)(1)(ii), (iii); 6 C.F.R. § 15.30(b)(1)(ii), (iii).</w:t>
      </w:r>
    </w:p>
    <w:p w14:paraId="5A840BA7" w14:textId="77777777" w:rsidR="008F3708" w:rsidRPr="00F30383" w:rsidRDefault="008F3708" w:rsidP="00D71FA8">
      <w:pPr>
        <w:pStyle w:val="ListParagraph"/>
        <w:spacing w:after="240"/>
        <w:rPr>
          <w:rFonts w:ascii="Myriad Pro" w:hAnsi="Myriad Pro"/>
          <w:sz w:val="20"/>
          <w:szCs w:val="20"/>
        </w:rPr>
      </w:pPr>
    </w:p>
    <w:p w14:paraId="038721EB" w14:textId="3D9828CD" w:rsidR="00064071" w:rsidRPr="000121C8" w:rsidRDefault="00064071"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Immigration </w:t>
      </w:r>
      <w:r w:rsidR="00477A24" w:rsidRPr="000121C8">
        <w:rPr>
          <w:rFonts w:ascii="Myriad Pro" w:hAnsi="Myriad Pro"/>
          <w:sz w:val="24"/>
          <w:szCs w:val="24"/>
        </w:rPr>
        <w:t xml:space="preserve">courts might violate Section 504 if they do not take appropriate steps to make sure that respondents with disabilities </w:t>
      </w:r>
      <w:r w:rsidR="005D5D41" w:rsidRPr="000121C8">
        <w:rPr>
          <w:rFonts w:ascii="Myriad Pro" w:hAnsi="Myriad Pro"/>
          <w:sz w:val="24"/>
          <w:szCs w:val="24"/>
        </w:rPr>
        <w:t xml:space="preserve">such as </w:t>
      </w:r>
      <w:r w:rsidR="00477A24" w:rsidRPr="000121C8">
        <w:rPr>
          <w:rFonts w:ascii="Myriad Pro" w:hAnsi="Myriad Pro"/>
          <w:sz w:val="24"/>
          <w:szCs w:val="24"/>
        </w:rPr>
        <w:t xml:space="preserve">intellectual and developmental disabilities are able to participate and provide </w:t>
      </w:r>
      <w:r w:rsidR="005A18C4" w:rsidRPr="000121C8">
        <w:rPr>
          <w:rFonts w:ascii="Myriad Pro" w:hAnsi="Myriad Pro"/>
          <w:sz w:val="24"/>
          <w:szCs w:val="24"/>
        </w:rPr>
        <w:t xml:space="preserve">important information about their cases. </w:t>
      </w:r>
    </w:p>
    <w:p w14:paraId="6208D86F" w14:textId="77777777" w:rsidR="005A18C4" w:rsidRPr="00F30383" w:rsidRDefault="005A18C4" w:rsidP="00D71FA8">
      <w:pPr>
        <w:pStyle w:val="ListParagraph"/>
        <w:widowControl w:val="0"/>
        <w:spacing w:after="240" w:line="240" w:lineRule="auto"/>
        <w:ind w:left="1440"/>
        <w:rPr>
          <w:rFonts w:ascii="Myriad Pro" w:hAnsi="Myriad Pro"/>
          <w:sz w:val="20"/>
          <w:szCs w:val="20"/>
        </w:rPr>
      </w:pPr>
    </w:p>
    <w:p w14:paraId="0342F435" w14:textId="77777777" w:rsidR="005D5D41" w:rsidRPr="000121C8" w:rsidRDefault="007970D7"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DHS might </w:t>
      </w:r>
      <w:r w:rsidR="005A18C4" w:rsidRPr="000121C8">
        <w:rPr>
          <w:rFonts w:ascii="Myriad Pro" w:hAnsi="Myriad Pro"/>
          <w:sz w:val="24"/>
          <w:szCs w:val="24"/>
        </w:rPr>
        <w:t xml:space="preserve">violate Section 504 if </w:t>
      </w:r>
      <w:r w:rsidRPr="000121C8">
        <w:rPr>
          <w:rFonts w:ascii="Myriad Pro" w:hAnsi="Myriad Pro"/>
          <w:sz w:val="24"/>
          <w:szCs w:val="24"/>
        </w:rPr>
        <w:t xml:space="preserve">it operates or contracts for detention facilities </w:t>
      </w:r>
      <w:r w:rsidRPr="000121C8">
        <w:rPr>
          <w:rFonts w:ascii="Myriad Pro" w:hAnsi="Myriad Pro"/>
          <w:sz w:val="24"/>
          <w:szCs w:val="24"/>
        </w:rPr>
        <w:lastRenderedPageBreak/>
        <w:t xml:space="preserve">with inaccessible programs, such as: </w:t>
      </w:r>
      <w:r w:rsidR="005A18C4" w:rsidRPr="000121C8">
        <w:rPr>
          <w:rFonts w:ascii="Myriad Pro" w:hAnsi="Myriad Pro"/>
          <w:sz w:val="24"/>
          <w:szCs w:val="24"/>
        </w:rPr>
        <w:t>orientation video</w:t>
      </w:r>
      <w:r w:rsidRPr="000121C8">
        <w:rPr>
          <w:rFonts w:ascii="Myriad Pro" w:hAnsi="Myriad Pro"/>
          <w:sz w:val="24"/>
          <w:szCs w:val="24"/>
        </w:rPr>
        <w:t>s</w:t>
      </w:r>
      <w:r w:rsidR="005A18C4" w:rsidRPr="000121C8">
        <w:rPr>
          <w:rFonts w:ascii="Myriad Pro" w:hAnsi="Myriad Pro"/>
          <w:sz w:val="24"/>
          <w:szCs w:val="24"/>
        </w:rPr>
        <w:t xml:space="preserve"> </w:t>
      </w:r>
      <w:r w:rsidRPr="000121C8">
        <w:rPr>
          <w:rFonts w:ascii="Myriad Pro" w:hAnsi="Myriad Pro"/>
          <w:sz w:val="24"/>
          <w:szCs w:val="24"/>
        </w:rPr>
        <w:t xml:space="preserve">that are </w:t>
      </w:r>
      <w:r w:rsidR="005A18C4" w:rsidRPr="000121C8">
        <w:rPr>
          <w:rFonts w:ascii="Myriad Pro" w:hAnsi="Myriad Pro"/>
          <w:sz w:val="24"/>
          <w:szCs w:val="24"/>
        </w:rPr>
        <w:t>not accessible to deaf and hard of hearing detainees (with captions or sign language)</w:t>
      </w:r>
      <w:r w:rsidRPr="000121C8">
        <w:rPr>
          <w:rFonts w:ascii="Myriad Pro" w:hAnsi="Myriad Pro"/>
          <w:sz w:val="24"/>
          <w:szCs w:val="24"/>
        </w:rPr>
        <w:t xml:space="preserve">; tablets that are inaccessible to blind and low-vision detainees; </w:t>
      </w:r>
      <w:r w:rsidR="005D5D41" w:rsidRPr="000121C8">
        <w:rPr>
          <w:rFonts w:ascii="Myriad Pro" w:hAnsi="Myriad Pro"/>
          <w:sz w:val="24"/>
          <w:szCs w:val="24"/>
        </w:rPr>
        <w:t xml:space="preserve">a lack of </w:t>
      </w:r>
      <w:r w:rsidR="005A18C4" w:rsidRPr="000121C8">
        <w:rPr>
          <w:rFonts w:ascii="Myriad Pro" w:hAnsi="Myriad Pro"/>
          <w:sz w:val="24"/>
          <w:szCs w:val="24"/>
        </w:rPr>
        <w:t>accessible telephones (videophones and captioned telephones) that deaf and hard of hearing detainees can use</w:t>
      </w:r>
      <w:r w:rsidR="005D5D41" w:rsidRPr="000121C8">
        <w:rPr>
          <w:rFonts w:ascii="Myriad Pro" w:hAnsi="Myriad Pro"/>
          <w:sz w:val="24"/>
          <w:szCs w:val="24"/>
        </w:rPr>
        <w:t xml:space="preserve">; programs like law library or visitation located </w:t>
      </w:r>
      <w:r w:rsidR="005A18C4" w:rsidRPr="000121C8">
        <w:rPr>
          <w:rFonts w:ascii="Myriad Pro" w:hAnsi="Myriad Pro"/>
          <w:sz w:val="24"/>
          <w:szCs w:val="24"/>
        </w:rPr>
        <w:t xml:space="preserve">in areas that are not accessible to detainees with mobility disabilities. </w:t>
      </w:r>
    </w:p>
    <w:p w14:paraId="3A9F4176" w14:textId="77777777" w:rsidR="005D5D41" w:rsidRPr="00F30383" w:rsidRDefault="005D5D41" w:rsidP="00D71FA8">
      <w:pPr>
        <w:pStyle w:val="ListParagraph"/>
        <w:spacing w:after="240"/>
        <w:rPr>
          <w:rFonts w:ascii="Myriad Pro" w:hAnsi="Myriad Pro"/>
          <w:sz w:val="20"/>
          <w:szCs w:val="20"/>
        </w:rPr>
      </w:pPr>
    </w:p>
    <w:p w14:paraId="1E6C8F76" w14:textId="6DA0321C" w:rsidR="005A18C4" w:rsidRPr="000121C8" w:rsidRDefault="005D5D41"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DHS might violate Section 504 if it operates or contracts for detention facilities that are </w:t>
      </w:r>
      <w:r w:rsidR="00C748AE" w:rsidRPr="000121C8">
        <w:rPr>
          <w:rFonts w:ascii="Myriad Pro" w:hAnsi="Myriad Pro"/>
          <w:sz w:val="24"/>
          <w:szCs w:val="24"/>
        </w:rPr>
        <w:t xml:space="preserve">less safe for disabled detainees as compared to nondisabled detainees. </w:t>
      </w:r>
    </w:p>
    <w:p w14:paraId="45C85199" w14:textId="77777777" w:rsidR="005A18C4" w:rsidRPr="00F30383" w:rsidRDefault="005A18C4" w:rsidP="00D71FA8">
      <w:pPr>
        <w:pStyle w:val="ListParagraph"/>
        <w:widowControl w:val="0"/>
        <w:spacing w:after="240" w:line="240" w:lineRule="auto"/>
        <w:ind w:left="1440"/>
        <w:rPr>
          <w:rFonts w:ascii="Myriad Pro" w:hAnsi="Myriad Pro"/>
          <w:sz w:val="20"/>
          <w:szCs w:val="20"/>
        </w:rPr>
      </w:pPr>
    </w:p>
    <w:p w14:paraId="00000004" w14:textId="22AAF06D" w:rsidR="00E56B5C" w:rsidRPr="000121C8" w:rsidRDefault="002B75F0" w:rsidP="00D71FA8">
      <w:pPr>
        <w:pStyle w:val="ListParagraph"/>
        <w:widowControl w:val="0"/>
        <w:numPr>
          <w:ilvl w:val="0"/>
          <w:numId w:val="4"/>
        </w:numPr>
        <w:spacing w:after="240" w:line="240" w:lineRule="auto"/>
        <w:rPr>
          <w:rFonts w:ascii="Myriad Pro" w:hAnsi="Myriad Pro"/>
          <w:sz w:val="24"/>
          <w:szCs w:val="24"/>
        </w:rPr>
      </w:pPr>
      <w:r w:rsidRPr="000121C8">
        <w:rPr>
          <w:rFonts w:ascii="Myriad Pro" w:hAnsi="Myriad Pro"/>
          <w:sz w:val="24"/>
          <w:szCs w:val="24"/>
        </w:rPr>
        <w:t>An agency may not directly or through contractual or other arrangements use criteria or methods of administration which would have the purpose or effect of disability discrimination</w:t>
      </w:r>
      <w:r w:rsidR="003478C0" w:rsidRPr="000121C8">
        <w:rPr>
          <w:rFonts w:ascii="Myriad Pro" w:hAnsi="Myriad Pro"/>
          <w:sz w:val="24"/>
          <w:szCs w:val="24"/>
        </w:rPr>
        <w:t xml:space="preserve"> or of </w:t>
      </w:r>
      <w:r w:rsidRPr="000121C8">
        <w:rPr>
          <w:rFonts w:ascii="Myriad Pro" w:hAnsi="Myriad Pro"/>
          <w:sz w:val="24"/>
          <w:szCs w:val="24"/>
        </w:rPr>
        <w:t xml:space="preserve">defeating or substantially impairing the accomplishment of the program or activity’s objectives with respect to </w:t>
      </w:r>
      <w:r w:rsidR="003478C0" w:rsidRPr="000121C8">
        <w:rPr>
          <w:rFonts w:ascii="Myriad Pro" w:hAnsi="Myriad Pro"/>
          <w:sz w:val="24"/>
          <w:szCs w:val="24"/>
        </w:rPr>
        <w:t xml:space="preserve">people </w:t>
      </w:r>
      <w:r w:rsidRPr="000121C8">
        <w:rPr>
          <w:rFonts w:ascii="Myriad Pro" w:hAnsi="Myriad Pro"/>
          <w:sz w:val="24"/>
          <w:szCs w:val="24"/>
        </w:rPr>
        <w:t xml:space="preserve">with disabilities. 28 C.F.R. § 39.130(b)(3); 6 C.F.R. § 15.30(b)(4). </w:t>
      </w:r>
    </w:p>
    <w:p w14:paraId="4B686E0F" w14:textId="77777777" w:rsidR="00A04B47" w:rsidRPr="00F30383" w:rsidRDefault="00A04B47" w:rsidP="00D71FA8">
      <w:pPr>
        <w:pStyle w:val="ListParagraph"/>
        <w:spacing w:after="240"/>
        <w:rPr>
          <w:rFonts w:ascii="Myriad Pro" w:hAnsi="Myriad Pro"/>
          <w:sz w:val="20"/>
          <w:szCs w:val="20"/>
        </w:rPr>
      </w:pPr>
    </w:p>
    <w:p w14:paraId="4863EA9F" w14:textId="34F9EA4B" w:rsidR="00EB2730" w:rsidRPr="000121C8" w:rsidRDefault="00DF7E66"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Rules that apply </w:t>
      </w:r>
      <w:r w:rsidR="00EB2730" w:rsidRPr="000121C8">
        <w:rPr>
          <w:rFonts w:ascii="Myriad Pro" w:hAnsi="Myriad Pro"/>
          <w:sz w:val="24"/>
          <w:szCs w:val="24"/>
        </w:rPr>
        <w:t>to immigrants may be analyzed for whether they have the purpose or effect of excluding people with disabilities. For example, the public charge rule</w:t>
      </w:r>
      <w:r w:rsidR="002B4C89" w:rsidRPr="000121C8">
        <w:rPr>
          <w:rFonts w:ascii="Myriad Pro" w:hAnsi="Myriad Pro"/>
          <w:sz w:val="24"/>
          <w:szCs w:val="24"/>
        </w:rPr>
        <w:t>, discussed below,</w:t>
      </w:r>
      <w:r w:rsidR="00EB2730" w:rsidRPr="000121C8">
        <w:rPr>
          <w:rFonts w:ascii="Myriad Pro" w:hAnsi="Myriad Pro"/>
          <w:sz w:val="24"/>
          <w:szCs w:val="24"/>
        </w:rPr>
        <w:t xml:space="preserve"> </w:t>
      </w:r>
      <w:r w:rsidR="002B4C89" w:rsidRPr="000121C8">
        <w:rPr>
          <w:rFonts w:ascii="Myriad Pro" w:hAnsi="Myriad Pro"/>
          <w:sz w:val="24"/>
          <w:szCs w:val="24"/>
        </w:rPr>
        <w:t xml:space="preserve">may exclude </w:t>
      </w:r>
      <w:r w:rsidR="00EB2730" w:rsidRPr="000121C8">
        <w:rPr>
          <w:rFonts w:ascii="Myriad Pro" w:hAnsi="Myriad Pro"/>
          <w:sz w:val="24"/>
          <w:szCs w:val="24"/>
        </w:rPr>
        <w:t xml:space="preserve">immigrants seeking a green card </w:t>
      </w:r>
      <w:r w:rsidR="002B4C89" w:rsidRPr="000121C8">
        <w:rPr>
          <w:rFonts w:ascii="Myriad Pro" w:hAnsi="Myriad Pro"/>
          <w:sz w:val="24"/>
          <w:szCs w:val="24"/>
        </w:rPr>
        <w:t>based on disability</w:t>
      </w:r>
      <w:r w:rsidR="00EB2730" w:rsidRPr="000121C8">
        <w:rPr>
          <w:rFonts w:ascii="Myriad Pro" w:hAnsi="Myriad Pro"/>
          <w:sz w:val="24"/>
          <w:szCs w:val="24"/>
        </w:rPr>
        <w:t xml:space="preserve">. </w:t>
      </w:r>
    </w:p>
    <w:p w14:paraId="572A9E7A" w14:textId="77777777" w:rsidR="00EB2730" w:rsidRPr="00F30383" w:rsidRDefault="00EB2730" w:rsidP="00D71FA8">
      <w:pPr>
        <w:pStyle w:val="ListParagraph"/>
        <w:widowControl w:val="0"/>
        <w:spacing w:after="240" w:line="240" w:lineRule="auto"/>
        <w:ind w:left="1440"/>
        <w:rPr>
          <w:rFonts w:ascii="Myriad Pro" w:hAnsi="Myriad Pro"/>
          <w:sz w:val="20"/>
          <w:szCs w:val="20"/>
        </w:rPr>
      </w:pPr>
    </w:p>
    <w:p w14:paraId="023B2C6F" w14:textId="52961E22" w:rsidR="00522D59" w:rsidRPr="00D71FA8" w:rsidRDefault="00EB2730"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Courts may consider </w:t>
      </w:r>
      <w:r w:rsidR="00064071" w:rsidRPr="000121C8">
        <w:rPr>
          <w:rFonts w:ascii="Myriad Pro" w:hAnsi="Myriad Pro"/>
          <w:sz w:val="24"/>
          <w:szCs w:val="24"/>
        </w:rPr>
        <w:t xml:space="preserve">these types of claims </w:t>
      </w:r>
      <w:r w:rsidRPr="000121C8">
        <w:rPr>
          <w:rFonts w:ascii="Myriad Pro" w:hAnsi="Myriad Pro"/>
          <w:sz w:val="24"/>
          <w:szCs w:val="24"/>
        </w:rPr>
        <w:t xml:space="preserve">as unintentional disparate impact discrimination. As described below, there is a circuit split on whether Section 504 prohibits unintentional, disparate impact discrimination. </w:t>
      </w:r>
      <w:r w:rsidR="00A04B47" w:rsidRPr="000121C8">
        <w:rPr>
          <w:rFonts w:ascii="Myriad Pro" w:hAnsi="Myriad Pro"/>
          <w:sz w:val="24"/>
          <w:szCs w:val="24"/>
        </w:rPr>
        <w:t xml:space="preserve">In practice, the facts may show intentional discrimination </w:t>
      </w:r>
      <w:r w:rsidR="00B46BC5" w:rsidRPr="000121C8">
        <w:rPr>
          <w:rFonts w:ascii="Myriad Pro" w:hAnsi="Myriad Pro"/>
          <w:sz w:val="24"/>
          <w:szCs w:val="24"/>
        </w:rPr>
        <w:t xml:space="preserve">and </w:t>
      </w:r>
      <w:r w:rsidR="00A04B47" w:rsidRPr="000121C8">
        <w:rPr>
          <w:rFonts w:ascii="Myriad Pro" w:hAnsi="Myriad Pro"/>
          <w:sz w:val="24"/>
          <w:szCs w:val="24"/>
        </w:rPr>
        <w:t xml:space="preserve">failures to accommodate. </w:t>
      </w:r>
    </w:p>
    <w:p w14:paraId="0263F07C" w14:textId="5976DABC" w:rsidR="00B11B84" w:rsidRPr="00D71FA8" w:rsidRDefault="00522D59" w:rsidP="00D71FA8">
      <w:pPr>
        <w:widowControl w:val="0"/>
        <w:spacing w:after="240"/>
        <w:rPr>
          <w:rFonts w:ascii="Myriad Pro" w:hAnsi="Myriad Pro"/>
        </w:rPr>
      </w:pPr>
      <w:r w:rsidRPr="000121C8">
        <w:rPr>
          <w:rFonts w:ascii="Myriad Pro" w:hAnsi="Myriad Pro"/>
        </w:rPr>
        <w:t xml:space="preserve">Affirmative obligations to </w:t>
      </w:r>
      <w:r w:rsidR="005A18C4" w:rsidRPr="000121C8">
        <w:rPr>
          <w:rFonts w:ascii="Myriad Pro" w:hAnsi="Myriad Pro"/>
        </w:rPr>
        <w:t xml:space="preserve">include people with disabilities </w:t>
      </w:r>
      <w:r w:rsidRPr="000121C8">
        <w:rPr>
          <w:rFonts w:ascii="Myriad Pro" w:hAnsi="Myriad Pro"/>
        </w:rPr>
        <w:t>include:</w:t>
      </w:r>
    </w:p>
    <w:p w14:paraId="032D9001" w14:textId="6A7DCEE0" w:rsidR="00B46BC5" w:rsidRPr="000121C8" w:rsidRDefault="00B46BC5" w:rsidP="00D71FA8">
      <w:pPr>
        <w:pStyle w:val="ListParagraph"/>
        <w:widowControl w:val="0"/>
        <w:numPr>
          <w:ilvl w:val="0"/>
          <w:numId w:val="4"/>
        </w:numPr>
        <w:spacing w:after="240" w:line="240" w:lineRule="auto"/>
        <w:rPr>
          <w:rFonts w:ascii="Myriad Pro" w:hAnsi="Myriad Pro"/>
          <w:sz w:val="24"/>
          <w:szCs w:val="24"/>
        </w:rPr>
      </w:pPr>
      <w:r w:rsidRPr="000121C8">
        <w:rPr>
          <w:rFonts w:ascii="Myriad Pro" w:hAnsi="Myriad Pro"/>
          <w:sz w:val="24"/>
          <w:szCs w:val="24"/>
        </w:rPr>
        <w:t xml:space="preserve">An agency must </w:t>
      </w:r>
      <w:r w:rsidR="005A18C4" w:rsidRPr="000121C8">
        <w:rPr>
          <w:rFonts w:ascii="Myriad Pro" w:hAnsi="Myriad Pro"/>
          <w:sz w:val="24"/>
          <w:szCs w:val="24"/>
        </w:rPr>
        <w:t xml:space="preserve">make </w:t>
      </w:r>
      <w:r w:rsidRPr="000121C8">
        <w:rPr>
          <w:rFonts w:ascii="Myriad Pro" w:hAnsi="Myriad Pro"/>
          <w:sz w:val="24"/>
          <w:szCs w:val="24"/>
        </w:rPr>
        <w:t>reasonable accommodations to people with disabilities. Reasonable accommodations are changes that the disabled person needs to meaningfully access a program or activity or to avoid disability discrimination.</w:t>
      </w:r>
      <w:r w:rsidRPr="000121C8">
        <w:rPr>
          <w:rStyle w:val="FootnoteReference"/>
          <w:rFonts w:ascii="Myriad Pro" w:hAnsi="Myriad Pro"/>
          <w:sz w:val="24"/>
          <w:szCs w:val="24"/>
        </w:rPr>
        <w:footnoteReference w:id="5"/>
      </w:r>
      <w:r w:rsidRPr="000121C8">
        <w:rPr>
          <w:rFonts w:ascii="Myriad Pro" w:hAnsi="Myriad Pro"/>
          <w:sz w:val="24"/>
          <w:szCs w:val="24"/>
        </w:rPr>
        <w:t xml:space="preserve"> </w:t>
      </w:r>
    </w:p>
    <w:p w14:paraId="3F80390F" w14:textId="18876AEF" w:rsidR="00EB2730" w:rsidRPr="00F30383" w:rsidRDefault="00EB2730" w:rsidP="00D71FA8">
      <w:pPr>
        <w:pStyle w:val="ListParagraph"/>
        <w:widowControl w:val="0"/>
        <w:spacing w:after="240" w:line="240" w:lineRule="auto"/>
        <w:ind w:left="1440"/>
        <w:rPr>
          <w:rFonts w:ascii="Myriad Pro" w:hAnsi="Myriad Pro"/>
          <w:sz w:val="20"/>
          <w:szCs w:val="20"/>
        </w:rPr>
      </w:pPr>
    </w:p>
    <w:p w14:paraId="4A7E50E8" w14:textId="6075F743" w:rsidR="00EB2730" w:rsidRPr="000121C8" w:rsidRDefault="00AA3F44"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Reasonable accommodation may include </w:t>
      </w:r>
      <w:r w:rsidR="005B424B" w:rsidRPr="000121C8">
        <w:rPr>
          <w:rFonts w:ascii="Myriad Pro" w:hAnsi="Myriad Pro"/>
          <w:sz w:val="24"/>
          <w:szCs w:val="24"/>
        </w:rPr>
        <w:t xml:space="preserve">many different types of changes and services, such as </w:t>
      </w:r>
      <w:r w:rsidRPr="000121C8">
        <w:rPr>
          <w:rFonts w:ascii="Myriad Pro" w:hAnsi="Myriad Pro"/>
          <w:sz w:val="24"/>
          <w:szCs w:val="24"/>
        </w:rPr>
        <w:t>sign language interpreters</w:t>
      </w:r>
      <w:r w:rsidR="005B424B" w:rsidRPr="000121C8">
        <w:rPr>
          <w:rFonts w:ascii="Myriad Pro" w:hAnsi="Myriad Pro"/>
          <w:sz w:val="24"/>
          <w:szCs w:val="24"/>
        </w:rPr>
        <w:t xml:space="preserve">, documents in alternative formats, </w:t>
      </w:r>
      <w:r w:rsidRPr="000121C8">
        <w:rPr>
          <w:rFonts w:ascii="Myriad Pro" w:hAnsi="Myriad Pro"/>
          <w:sz w:val="24"/>
          <w:szCs w:val="24"/>
        </w:rPr>
        <w:t>the participation of a supporter</w:t>
      </w:r>
      <w:r w:rsidR="005B424B" w:rsidRPr="000121C8">
        <w:rPr>
          <w:rFonts w:ascii="Myriad Pro" w:hAnsi="Myriad Pro"/>
          <w:sz w:val="24"/>
          <w:szCs w:val="24"/>
        </w:rPr>
        <w:t xml:space="preserve">, additional time to answer questions or complete a requirement, changes to a schedule, waiver of a requirement, and </w:t>
      </w:r>
      <w:r w:rsidRPr="000121C8">
        <w:rPr>
          <w:rFonts w:ascii="Myriad Pro" w:hAnsi="Myriad Pro"/>
          <w:sz w:val="24"/>
          <w:szCs w:val="24"/>
        </w:rPr>
        <w:t>the assignment of a qualified representative</w:t>
      </w:r>
      <w:r w:rsidR="005B424B" w:rsidRPr="000121C8">
        <w:rPr>
          <w:rFonts w:ascii="Myriad Pro" w:hAnsi="Myriad Pro"/>
          <w:sz w:val="24"/>
          <w:szCs w:val="24"/>
        </w:rPr>
        <w:t xml:space="preserve">. </w:t>
      </w:r>
    </w:p>
    <w:p w14:paraId="57B0664A" w14:textId="3F5735A1" w:rsidR="00AE188B" w:rsidRPr="00F30383" w:rsidRDefault="00AE188B" w:rsidP="00D71FA8">
      <w:pPr>
        <w:pStyle w:val="ListParagraph"/>
        <w:widowControl w:val="0"/>
        <w:spacing w:after="240" w:line="240" w:lineRule="auto"/>
        <w:ind w:left="1440"/>
        <w:rPr>
          <w:rFonts w:ascii="Myriad Pro" w:hAnsi="Myriad Pro"/>
          <w:sz w:val="20"/>
          <w:szCs w:val="20"/>
        </w:rPr>
      </w:pPr>
    </w:p>
    <w:p w14:paraId="364DB979" w14:textId="56538971" w:rsidR="00AE188B" w:rsidRPr="000121C8" w:rsidRDefault="00AE188B"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In the context of detention, </w:t>
      </w:r>
      <w:r w:rsidR="00B53BE2" w:rsidRPr="000121C8">
        <w:rPr>
          <w:rFonts w:ascii="Myriad Pro" w:hAnsi="Myriad Pro"/>
          <w:sz w:val="24"/>
          <w:szCs w:val="24"/>
        </w:rPr>
        <w:t xml:space="preserve">where </w:t>
      </w:r>
      <w:r w:rsidR="004A1635" w:rsidRPr="000121C8">
        <w:rPr>
          <w:rFonts w:ascii="Myriad Pro" w:hAnsi="Myriad Pro"/>
          <w:sz w:val="24"/>
          <w:szCs w:val="24"/>
        </w:rPr>
        <w:t xml:space="preserve">detainees are reliant on the institution for day-to-day support, </w:t>
      </w:r>
      <w:r w:rsidRPr="000121C8">
        <w:rPr>
          <w:rFonts w:ascii="Myriad Pro" w:hAnsi="Myriad Pro"/>
          <w:sz w:val="24"/>
          <w:szCs w:val="24"/>
        </w:rPr>
        <w:t xml:space="preserve">reasonable accommodation </w:t>
      </w:r>
      <w:r w:rsidR="00B9172D" w:rsidRPr="000121C8">
        <w:rPr>
          <w:rFonts w:ascii="Myriad Pro" w:hAnsi="Myriad Pro"/>
          <w:sz w:val="24"/>
          <w:szCs w:val="24"/>
        </w:rPr>
        <w:t xml:space="preserve">may include </w:t>
      </w:r>
      <w:r w:rsidRPr="000121C8">
        <w:rPr>
          <w:rFonts w:ascii="Myriad Pro" w:hAnsi="Myriad Pro"/>
          <w:sz w:val="24"/>
          <w:szCs w:val="24"/>
        </w:rPr>
        <w:t xml:space="preserve">assignment to </w:t>
      </w:r>
      <w:r w:rsidRPr="000121C8">
        <w:rPr>
          <w:rFonts w:ascii="Myriad Pro" w:hAnsi="Myriad Pro"/>
          <w:sz w:val="24"/>
          <w:szCs w:val="24"/>
        </w:rPr>
        <w:lastRenderedPageBreak/>
        <w:t>accessible housing</w:t>
      </w:r>
      <w:r w:rsidR="00B9172D" w:rsidRPr="000121C8">
        <w:rPr>
          <w:rFonts w:ascii="Myriad Pro" w:hAnsi="Myriad Pro"/>
          <w:sz w:val="24"/>
          <w:szCs w:val="24"/>
        </w:rPr>
        <w:t xml:space="preserve"> units with accessible </w:t>
      </w:r>
      <w:r w:rsidRPr="000121C8">
        <w:rPr>
          <w:rFonts w:ascii="Myriad Pro" w:hAnsi="Myriad Pro"/>
          <w:sz w:val="24"/>
          <w:szCs w:val="24"/>
        </w:rPr>
        <w:t>toilet</w:t>
      </w:r>
      <w:r w:rsidR="00B9172D" w:rsidRPr="000121C8">
        <w:rPr>
          <w:rFonts w:ascii="Myriad Pro" w:hAnsi="Myriad Pro"/>
          <w:sz w:val="24"/>
          <w:szCs w:val="24"/>
        </w:rPr>
        <w:t xml:space="preserve">s </w:t>
      </w:r>
      <w:r w:rsidRPr="000121C8">
        <w:rPr>
          <w:rFonts w:ascii="Myriad Pro" w:hAnsi="Myriad Pro"/>
          <w:sz w:val="24"/>
          <w:szCs w:val="24"/>
        </w:rPr>
        <w:t>and shower</w:t>
      </w:r>
      <w:r w:rsidR="00B9172D" w:rsidRPr="000121C8">
        <w:rPr>
          <w:rFonts w:ascii="Myriad Pro" w:hAnsi="Myriad Pro"/>
          <w:sz w:val="24"/>
          <w:szCs w:val="24"/>
        </w:rPr>
        <w:t>s</w:t>
      </w:r>
      <w:r w:rsidRPr="000121C8">
        <w:rPr>
          <w:rFonts w:ascii="Myriad Pro" w:hAnsi="Myriad Pro"/>
          <w:sz w:val="24"/>
          <w:szCs w:val="24"/>
        </w:rPr>
        <w:t xml:space="preserve">, </w:t>
      </w:r>
      <w:r w:rsidR="00B9172D" w:rsidRPr="000121C8">
        <w:rPr>
          <w:rFonts w:ascii="Myriad Pro" w:hAnsi="Myriad Pro"/>
          <w:sz w:val="24"/>
          <w:szCs w:val="24"/>
        </w:rPr>
        <w:t>equipment</w:t>
      </w:r>
      <w:r w:rsidRPr="000121C8">
        <w:rPr>
          <w:rFonts w:ascii="Myriad Pro" w:hAnsi="Myriad Pro"/>
          <w:sz w:val="24"/>
          <w:szCs w:val="24"/>
        </w:rPr>
        <w:t xml:space="preserve"> like shower chairs, hearing aids, </w:t>
      </w:r>
      <w:r w:rsidR="00B9172D" w:rsidRPr="000121C8">
        <w:rPr>
          <w:rFonts w:ascii="Myriad Pro" w:hAnsi="Myriad Pro"/>
          <w:sz w:val="24"/>
          <w:szCs w:val="24"/>
        </w:rPr>
        <w:t xml:space="preserve">wheelchairs, and </w:t>
      </w:r>
      <w:r w:rsidRPr="000121C8">
        <w:rPr>
          <w:rFonts w:ascii="Myriad Pro" w:hAnsi="Myriad Pro"/>
          <w:sz w:val="24"/>
          <w:szCs w:val="24"/>
        </w:rPr>
        <w:t>canes</w:t>
      </w:r>
      <w:r w:rsidR="00B9172D" w:rsidRPr="000121C8">
        <w:rPr>
          <w:rFonts w:ascii="Myriad Pro" w:hAnsi="Myriad Pro"/>
          <w:sz w:val="24"/>
          <w:szCs w:val="24"/>
        </w:rPr>
        <w:t xml:space="preserve">, and </w:t>
      </w:r>
      <w:r w:rsidRPr="000121C8">
        <w:rPr>
          <w:rFonts w:ascii="Myriad Pro" w:hAnsi="Myriad Pro"/>
          <w:sz w:val="24"/>
          <w:szCs w:val="24"/>
        </w:rPr>
        <w:t xml:space="preserve">assistance with </w:t>
      </w:r>
      <w:r w:rsidR="00B9172D" w:rsidRPr="000121C8">
        <w:rPr>
          <w:rFonts w:ascii="Myriad Pro" w:hAnsi="Myriad Pro"/>
          <w:sz w:val="24"/>
          <w:szCs w:val="24"/>
        </w:rPr>
        <w:t xml:space="preserve">mobility, eating, </w:t>
      </w:r>
      <w:r w:rsidRPr="000121C8">
        <w:rPr>
          <w:rFonts w:ascii="Myriad Pro" w:hAnsi="Myriad Pro"/>
          <w:sz w:val="24"/>
          <w:szCs w:val="24"/>
        </w:rPr>
        <w:t>toileting</w:t>
      </w:r>
      <w:r w:rsidR="00B9172D" w:rsidRPr="000121C8">
        <w:rPr>
          <w:rFonts w:ascii="Myriad Pro" w:hAnsi="Myriad Pro"/>
          <w:sz w:val="24"/>
          <w:szCs w:val="24"/>
        </w:rPr>
        <w:t>,</w:t>
      </w:r>
      <w:r w:rsidRPr="000121C8">
        <w:rPr>
          <w:rFonts w:ascii="Myriad Pro" w:hAnsi="Myriad Pro"/>
          <w:sz w:val="24"/>
          <w:szCs w:val="24"/>
        </w:rPr>
        <w:t xml:space="preserve"> </w:t>
      </w:r>
      <w:r w:rsidR="00B9172D" w:rsidRPr="000121C8">
        <w:rPr>
          <w:rFonts w:ascii="Myriad Pro" w:hAnsi="Myriad Pro"/>
          <w:sz w:val="24"/>
          <w:szCs w:val="24"/>
        </w:rPr>
        <w:t xml:space="preserve">and </w:t>
      </w:r>
      <w:r w:rsidRPr="000121C8">
        <w:rPr>
          <w:rFonts w:ascii="Myriad Pro" w:hAnsi="Myriad Pro"/>
          <w:sz w:val="24"/>
          <w:szCs w:val="24"/>
        </w:rPr>
        <w:t>hygiene.</w:t>
      </w:r>
      <w:r w:rsidR="005A18C4" w:rsidRPr="000121C8">
        <w:rPr>
          <w:rStyle w:val="FootnoteReference"/>
          <w:rFonts w:ascii="Myriad Pro" w:hAnsi="Myriad Pro"/>
          <w:sz w:val="24"/>
          <w:szCs w:val="24"/>
        </w:rPr>
        <w:footnoteReference w:id="6"/>
      </w:r>
    </w:p>
    <w:p w14:paraId="14A46339" w14:textId="77777777" w:rsidR="00E5016D" w:rsidRPr="00F30383" w:rsidRDefault="00E5016D" w:rsidP="00D71FA8">
      <w:pPr>
        <w:pStyle w:val="ListParagraph"/>
        <w:spacing w:after="240"/>
        <w:rPr>
          <w:rFonts w:ascii="Myriad Pro" w:hAnsi="Myriad Pro"/>
          <w:sz w:val="20"/>
          <w:szCs w:val="20"/>
        </w:rPr>
      </w:pPr>
    </w:p>
    <w:p w14:paraId="05FA184F" w14:textId="3A07A0FA" w:rsidR="00B46BC5" w:rsidRPr="00D71FA8" w:rsidRDefault="00E5016D"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In some cases, for example, if a disabled detainee is decompensating due to the conditions of detention and as a result is unable to participate in their immigration proceeding, it may be a reasonable accommodation to allow the detain to transfer to community supervision in order to recover enough to access their proceeding. This would depend on the facts and </w:t>
      </w:r>
      <w:r w:rsidR="00F204A6" w:rsidRPr="000121C8">
        <w:rPr>
          <w:rFonts w:ascii="Myriad Pro" w:hAnsi="Myriad Pro"/>
          <w:sz w:val="24"/>
          <w:szCs w:val="24"/>
        </w:rPr>
        <w:t>legal analysis by an experienced immigration and disability rights expert.</w:t>
      </w:r>
      <w:r w:rsidR="00D71FA8">
        <w:rPr>
          <w:rFonts w:ascii="Myriad Pro" w:hAnsi="Myriad Pro"/>
          <w:sz w:val="24"/>
          <w:szCs w:val="24"/>
        </w:rPr>
        <w:br/>
      </w:r>
    </w:p>
    <w:p w14:paraId="12D10E97" w14:textId="25438FCA" w:rsidR="00205475" w:rsidRPr="00425BDA" w:rsidRDefault="00AB2493" w:rsidP="00425BDA">
      <w:pPr>
        <w:pStyle w:val="ListParagraph"/>
        <w:widowControl w:val="0"/>
        <w:numPr>
          <w:ilvl w:val="0"/>
          <w:numId w:val="4"/>
        </w:numPr>
        <w:spacing w:after="240" w:line="240" w:lineRule="auto"/>
        <w:rPr>
          <w:rFonts w:ascii="Myriad Pro" w:hAnsi="Myriad Pro"/>
          <w:sz w:val="24"/>
          <w:szCs w:val="24"/>
        </w:rPr>
      </w:pPr>
      <w:r w:rsidRPr="000121C8">
        <w:rPr>
          <w:rFonts w:ascii="Myriad Pro" w:hAnsi="Myriad Pro"/>
          <w:sz w:val="24"/>
          <w:szCs w:val="24"/>
        </w:rPr>
        <w:t xml:space="preserve">An agency must ensure that </w:t>
      </w:r>
      <w:r w:rsidR="005A18C4" w:rsidRPr="000121C8">
        <w:rPr>
          <w:rFonts w:ascii="Myriad Pro" w:hAnsi="Myriad Pro"/>
          <w:sz w:val="24"/>
          <w:szCs w:val="24"/>
        </w:rPr>
        <w:t xml:space="preserve">its </w:t>
      </w:r>
      <w:r w:rsidRPr="000121C8">
        <w:rPr>
          <w:rFonts w:ascii="Myriad Pro" w:hAnsi="Myriad Pro"/>
          <w:sz w:val="24"/>
          <w:szCs w:val="24"/>
        </w:rPr>
        <w:t>communication</w:t>
      </w:r>
      <w:r w:rsidR="005A18C4" w:rsidRPr="000121C8">
        <w:rPr>
          <w:rFonts w:ascii="Myriad Pro" w:hAnsi="Myriad Pro"/>
          <w:sz w:val="24"/>
          <w:szCs w:val="24"/>
        </w:rPr>
        <w:t>s</w:t>
      </w:r>
      <w:r w:rsidRPr="000121C8">
        <w:rPr>
          <w:rFonts w:ascii="Myriad Pro" w:hAnsi="Myriad Pro"/>
          <w:sz w:val="24"/>
          <w:szCs w:val="24"/>
        </w:rPr>
        <w:t xml:space="preserve"> with people with disabilities </w:t>
      </w:r>
      <w:r w:rsidR="005A18C4" w:rsidRPr="000121C8">
        <w:rPr>
          <w:rFonts w:ascii="Myriad Pro" w:hAnsi="Myriad Pro"/>
          <w:sz w:val="24"/>
          <w:szCs w:val="24"/>
        </w:rPr>
        <w:t xml:space="preserve">are </w:t>
      </w:r>
      <w:r w:rsidRPr="000121C8">
        <w:rPr>
          <w:rFonts w:ascii="Myriad Pro" w:hAnsi="Myriad Pro"/>
          <w:sz w:val="24"/>
          <w:szCs w:val="24"/>
        </w:rPr>
        <w:t>effective. 28 C.F.R. § 39.160</w:t>
      </w:r>
      <w:r w:rsidR="00021963" w:rsidRPr="000121C8">
        <w:rPr>
          <w:rFonts w:ascii="Myriad Pro" w:hAnsi="Myriad Pro"/>
          <w:sz w:val="24"/>
          <w:szCs w:val="24"/>
        </w:rPr>
        <w:t>(a)</w:t>
      </w:r>
      <w:r w:rsidRPr="000121C8">
        <w:rPr>
          <w:rFonts w:ascii="Myriad Pro" w:hAnsi="Myriad Pro"/>
          <w:sz w:val="24"/>
          <w:szCs w:val="24"/>
        </w:rPr>
        <w:t>; 6 C.F.R. § 15.60</w:t>
      </w:r>
      <w:r w:rsidR="00021963" w:rsidRPr="000121C8">
        <w:rPr>
          <w:rFonts w:ascii="Myriad Pro" w:hAnsi="Myriad Pro"/>
          <w:sz w:val="24"/>
          <w:szCs w:val="24"/>
        </w:rPr>
        <w:t xml:space="preserve">(a); </w:t>
      </w:r>
      <w:r w:rsidR="00021963" w:rsidRPr="000121C8">
        <w:rPr>
          <w:rFonts w:ascii="Myriad Pro" w:hAnsi="Myriad Pro"/>
          <w:i/>
          <w:iCs/>
          <w:sz w:val="24"/>
          <w:szCs w:val="24"/>
        </w:rPr>
        <w:t xml:space="preserve">see also </w:t>
      </w:r>
      <w:r w:rsidR="00021963" w:rsidRPr="000121C8">
        <w:rPr>
          <w:rFonts w:ascii="Myriad Pro" w:hAnsi="Myriad Pro"/>
          <w:sz w:val="24"/>
          <w:szCs w:val="24"/>
        </w:rPr>
        <w:t>45 C.F.R. § 84.77(a) (“A recipient shall take appropriate steps to ensure that communications with [people with disabilities] are as effective as communications with others.”)</w:t>
      </w:r>
      <w:r w:rsidR="00205475" w:rsidRPr="000121C8">
        <w:rPr>
          <w:rFonts w:ascii="Myriad Pro" w:hAnsi="Myriad Pro"/>
          <w:sz w:val="24"/>
          <w:szCs w:val="24"/>
        </w:rPr>
        <w:t>.</w:t>
      </w:r>
      <w:r w:rsidR="00531F3B" w:rsidRPr="000121C8">
        <w:rPr>
          <w:rFonts w:ascii="Myriad Pro" w:hAnsi="Myriad Pro"/>
          <w:sz w:val="24"/>
          <w:szCs w:val="24"/>
        </w:rPr>
        <w:t xml:space="preserve"> </w:t>
      </w:r>
      <w:r w:rsidR="00425BDA">
        <w:rPr>
          <w:rFonts w:ascii="Myriad Pro" w:hAnsi="Myriad Pro"/>
          <w:sz w:val="24"/>
          <w:szCs w:val="24"/>
        </w:rPr>
        <w:br/>
      </w:r>
    </w:p>
    <w:p w14:paraId="11F35F82" w14:textId="5F8EBF5B" w:rsidR="009B513C" w:rsidRPr="00D71FA8" w:rsidRDefault="009B513C"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Effective communication </w:t>
      </w:r>
      <w:r w:rsidR="002B4C89" w:rsidRPr="000121C8">
        <w:rPr>
          <w:rFonts w:ascii="Myriad Pro" w:hAnsi="Myriad Pro"/>
          <w:sz w:val="24"/>
          <w:szCs w:val="24"/>
        </w:rPr>
        <w:t xml:space="preserve">between immigration agencies and </w:t>
      </w:r>
      <w:r w:rsidRPr="000121C8">
        <w:rPr>
          <w:rFonts w:ascii="Myriad Pro" w:hAnsi="Myriad Pro"/>
          <w:sz w:val="24"/>
          <w:szCs w:val="24"/>
        </w:rPr>
        <w:t xml:space="preserve">people with disabilities might require sign language interpreting (including sign language teams with Deaf Interpreters), real-time captioning, documents in alternative formats such as enlarged print, Braille, and digital, and websites and applications that are accessible to screen readers and other technology used by disabled people. </w:t>
      </w:r>
      <w:r w:rsidR="00D71FA8">
        <w:rPr>
          <w:rFonts w:ascii="Myriad Pro" w:hAnsi="Myriad Pro"/>
          <w:sz w:val="24"/>
          <w:szCs w:val="24"/>
        </w:rPr>
        <w:br/>
      </w:r>
    </w:p>
    <w:p w14:paraId="0573945F" w14:textId="47371C3C" w:rsidR="005B424B" w:rsidRPr="000121C8" w:rsidRDefault="005B424B" w:rsidP="00D71FA8">
      <w:pPr>
        <w:pStyle w:val="ListParagraph"/>
        <w:widowControl w:val="0"/>
        <w:numPr>
          <w:ilvl w:val="0"/>
          <w:numId w:val="4"/>
        </w:numPr>
        <w:spacing w:after="240" w:line="240" w:lineRule="auto"/>
        <w:rPr>
          <w:rFonts w:ascii="Myriad Pro" w:hAnsi="Myriad Pro"/>
          <w:sz w:val="24"/>
          <w:szCs w:val="24"/>
        </w:rPr>
      </w:pPr>
      <w:r w:rsidRPr="000121C8">
        <w:rPr>
          <w:rFonts w:ascii="Myriad Pro" w:hAnsi="Myriad Pro"/>
          <w:sz w:val="24"/>
          <w:szCs w:val="24"/>
        </w:rPr>
        <w:t>An agency’s programs and activities must be administered in the most integrated setting appropriate to the needs of people with disabilities. 28 C.F.R. § 39.130(d); 6 C.F.R. §</w:t>
      </w:r>
      <w:r w:rsidR="003A23EF" w:rsidRPr="000121C8">
        <w:rPr>
          <w:rFonts w:ascii="Myriad Pro" w:hAnsi="Myriad Pro"/>
          <w:sz w:val="24"/>
          <w:szCs w:val="24"/>
        </w:rPr>
        <w:t> </w:t>
      </w:r>
      <w:r w:rsidRPr="000121C8">
        <w:rPr>
          <w:rFonts w:ascii="Myriad Pro" w:hAnsi="Myriad Pro"/>
          <w:sz w:val="24"/>
          <w:szCs w:val="24"/>
        </w:rPr>
        <w:t>15.30(d).</w:t>
      </w:r>
    </w:p>
    <w:p w14:paraId="3E0FB26A" w14:textId="77777777" w:rsidR="005B424B" w:rsidRPr="00F30383" w:rsidRDefault="005B424B" w:rsidP="00D71FA8">
      <w:pPr>
        <w:pStyle w:val="ListParagraph"/>
        <w:widowControl w:val="0"/>
        <w:spacing w:after="240" w:line="240" w:lineRule="auto"/>
        <w:ind w:left="1440"/>
        <w:rPr>
          <w:rFonts w:ascii="Myriad Pro" w:hAnsi="Myriad Pro"/>
          <w:sz w:val="20"/>
          <w:szCs w:val="20"/>
        </w:rPr>
      </w:pPr>
    </w:p>
    <w:p w14:paraId="7B3C654B" w14:textId="79EA176C" w:rsidR="005B424B" w:rsidRPr="000121C8" w:rsidRDefault="005B424B" w:rsidP="00D71FA8">
      <w:pPr>
        <w:pStyle w:val="ListParagraph"/>
        <w:widowControl w:val="0"/>
        <w:numPr>
          <w:ilvl w:val="1"/>
          <w:numId w:val="4"/>
        </w:numPr>
        <w:spacing w:after="240" w:line="240" w:lineRule="auto"/>
        <w:rPr>
          <w:rFonts w:ascii="Myriad Pro" w:hAnsi="Myriad Pro"/>
          <w:sz w:val="24"/>
          <w:szCs w:val="24"/>
        </w:rPr>
      </w:pPr>
      <w:r w:rsidRPr="000121C8">
        <w:rPr>
          <w:rFonts w:ascii="Myriad Pro" w:hAnsi="Myriad Pro"/>
          <w:sz w:val="24"/>
          <w:szCs w:val="24"/>
        </w:rPr>
        <w:t xml:space="preserve">This obligation is also called </w:t>
      </w:r>
      <w:r w:rsidRPr="000121C8">
        <w:rPr>
          <w:rFonts w:ascii="Myriad Pro" w:hAnsi="Myriad Pro"/>
          <w:i/>
          <w:iCs/>
          <w:sz w:val="24"/>
          <w:szCs w:val="24"/>
        </w:rPr>
        <w:t>Olmstead</w:t>
      </w:r>
      <w:r w:rsidRPr="000121C8">
        <w:rPr>
          <w:rFonts w:ascii="Myriad Pro" w:hAnsi="Myriad Pro"/>
          <w:sz w:val="24"/>
          <w:szCs w:val="24"/>
        </w:rPr>
        <w:t xml:space="preserve"> or the integration mandate. Immigration officials might violate this provision if they house all people with disabilities in a segregated detention center or segregated part of a detention center</w:t>
      </w:r>
      <w:r w:rsidR="002B4C89" w:rsidRPr="000121C8">
        <w:rPr>
          <w:rFonts w:ascii="Myriad Pro" w:hAnsi="Myriad Pro"/>
          <w:sz w:val="24"/>
          <w:szCs w:val="24"/>
        </w:rPr>
        <w:t>,</w:t>
      </w:r>
      <w:r w:rsidRPr="000121C8">
        <w:rPr>
          <w:rFonts w:ascii="Myriad Pro" w:hAnsi="Myriad Pro"/>
          <w:sz w:val="24"/>
          <w:szCs w:val="24"/>
        </w:rPr>
        <w:t xml:space="preserve"> particularly if the detainees then have less access to programs and services. They might violate this provision if they grant detainees with disabilities less access than others to programs that allow people to live in the community during their immigration case. </w:t>
      </w:r>
    </w:p>
    <w:p w14:paraId="5FB3B8F4" w14:textId="77777777" w:rsidR="003A23EF" w:rsidRPr="00F30383" w:rsidRDefault="003A23EF" w:rsidP="00D71FA8">
      <w:pPr>
        <w:pStyle w:val="ListParagraph"/>
        <w:widowControl w:val="0"/>
        <w:spacing w:after="240" w:line="240" w:lineRule="auto"/>
        <w:ind w:left="1440"/>
        <w:rPr>
          <w:rFonts w:ascii="Myriad Pro" w:hAnsi="Myriad Pro"/>
          <w:sz w:val="20"/>
          <w:szCs w:val="20"/>
        </w:rPr>
      </w:pPr>
    </w:p>
    <w:p w14:paraId="1B2A7062" w14:textId="626CFC16" w:rsidR="00F30383" w:rsidRPr="00F30383" w:rsidRDefault="003A23EF" w:rsidP="00F30383">
      <w:pPr>
        <w:pStyle w:val="ListParagraph"/>
        <w:widowControl w:val="0"/>
        <w:numPr>
          <w:ilvl w:val="0"/>
          <w:numId w:val="4"/>
        </w:numPr>
        <w:spacing w:after="240" w:line="240" w:lineRule="auto"/>
        <w:rPr>
          <w:rFonts w:ascii="Myriad Pro" w:hAnsi="Myriad Pro"/>
          <w:sz w:val="24"/>
          <w:szCs w:val="24"/>
        </w:rPr>
      </w:pPr>
      <w:r w:rsidRPr="000121C8">
        <w:rPr>
          <w:rFonts w:ascii="Myriad Pro" w:hAnsi="Myriad Pro"/>
          <w:sz w:val="24"/>
          <w:szCs w:val="24"/>
        </w:rPr>
        <w:t>Any new construction or alteration by an agency must comply with applicable access standards. 28 C.F.R. § 39.151; 6 C.F.R. § 15.51. Each program or activity must be readily accessible to and usable by people with disabilities. 28 C.F.R. § 39.150; 6 C.F.R. § 15.50.</w:t>
      </w:r>
    </w:p>
    <w:p w14:paraId="327ECA38" w14:textId="1D841778" w:rsidR="00B11B84" w:rsidRPr="00F30383" w:rsidRDefault="000D4663" w:rsidP="00F30383">
      <w:pPr>
        <w:pStyle w:val="Heading2"/>
      </w:pPr>
      <w:r w:rsidRPr="00F30383">
        <w:t xml:space="preserve">Case Example: </w:t>
      </w:r>
      <w:r w:rsidR="00DD0A84" w:rsidRPr="00F30383">
        <w:t xml:space="preserve">Denial of </w:t>
      </w:r>
      <w:r w:rsidR="002D7BFD" w:rsidRPr="00F30383">
        <w:t>Reasonable Accommodation</w:t>
      </w:r>
    </w:p>
    <w:p w14:paraId="6CE97435" w14:textId="7800F66B" w:rsidR="00B11B84" w:rsidRPr="000121C8" w:rsidRDefault="002D7BFD" w:rsidP="00D71FA8">
      <w:pPr>
        <w:widowControl w:val="0"/>
        <w:spacing w:after="240"/>
        <w:rPr>
          <w:rFonts w:ascii="Myriad Pro" w:hAnsi="Myriad Pro"/>
        </w:rPr>
      </w:pPr>
      <w:r w:rsidRPr="000121C8">
        <w:rPr>
          <w:rFonts w:ascii="Myriad Pro" w:hAnsi="Myriad Pro"/>
        </w:rPr>
        <w:t xml:space="preserve">In </w:t>
      </w:r>
      <w:r w:rsidRPr="000121C8">
        <w:rPr>
          <w:rFonts w:ascii="Myriad Pro" w:hAnsi="Myriad Pro"/>
          <w:i/>
          <w:iCs/>
        </w:rPr>
        <w:t>Avirmed v. DHS</w:t>
      </w:r>
      <w:r w:rsidRPr="000121C8">
        <w:rPr>
          <w:rFonts w:ascii="Myriad Pro" w:hAnsi="Myriad Pro"/>
        </w:rPr>
        <w:t xml:space="preserve">, the court reviewed the communication barriers experienced by a deaf </w:t>
      </w:r>
      <w:r w:rsidRPr="000121C8">
        <w:rPr>
          <w:rFonts w:ascii="Myriad Pro" w:hAnsi="Myriad Pro"/>
        </w:rPr>
        <w:lastRenderedPageBreak/>
        <w:t xml:space="preserve">plaintiff who communicates through Mongolian Sign Language (“MSL”) and written Mongolian. The plaintiff was denied MSL in numerous contexts, including during arrest, interviews, medical and mental health evaluations, detention, and immigration proceedings. He also struggled to communicate with his lawyers during video calls. Detention officials imposed a one-hour time limit for everyone, but using an MSL interpreter required additional time. </w:t>
      </w:r>
    </w:p>
    <w:p w14:paraId="513C9A13" w14:textId="57FA6473" w:rsidR="000D4663" w:rsidRPr="000121C8" w:rsidRDefault="002D7BFD" w:rsidP="00D71FA8">
      <w:pPr>
        <w:widowControl w:val="0"/>
        <w:spacing w:after="240"/>
        <w:rPr>
          <w:rFonts w:ascii="Myriad Pro" w:hAnsi="Myriad Pro"/>
        </w:rPr>
      </w:pPr>
      <w:r w:rsidRPr="000121C8">
        <w:rPr>
          <w:rFonts w:ascii="Myriad Pro" w:hAnsi="Myriad Pro"/>
        </w:rPr>
        <w:t>The court found that the plaintiff was denied reasonable accommodation and ordered the defendants to ensure a qualified MSL interpreter at future proceedings and hearings, to redo plaintiff’s medical and mental evaluations using an MSL interpreter, to extend the time limit for plaintiff’s video phone calls with counsel to three hours, and to allow the plaintiff’s sister to participate in proceedings. 2025 U.S. Dist. LEXIS 135888, at *14-20.</w:t>
      </w:r>
    </w:p>
    <w:p w14:paraId="6050FC8A" w14:textId="0A97A8AB" w:rsidR="00B11B84" w:rsidRPr="00425BDA" w:rsidRDefault="000D4663" w:rsidP="00F30383">
      <w:pPr>
        <w:pStyle w:val="Heading2"/>
      </w:pPr>
      <w:r w:rsidRPr="00425BDA">
        <w:t xml:space="preserve">Case Example: Discrimination Through Methods of Administration </w:t>
      </w:r>
    </w:p>
    <w:p w14:paraId="5EEC3F0A" w14:textId="71BFB3ED" w:rsidR="00B11B84" w:rsidRPr="000121C8" w:rsidRDefault="007B0202" w:rsidP="00D71FA8">
      <w:pPr>
        <w:widowControl w:val="0"/>
        <w:spacing w:after="240"/>
        <w:rPr>
          <w:rFonts w:ascii="Myriad Pro" w:hAnsi="Myriad Pro"/>
        </w:rPr>
      </w:pPr>
      <w:r w:rsidRPr="000121C8">
        <w:rPr>
          <w:rFonts w:ascii="Myriad Pro" w:hAnsi="Myriad Pro"/>
        </w:rPr>
        <w:t>Immigrants who are seeking to adjust their status must show that they are not a “public charge</w:t>
      </w:r>
      <w:r w:rsidR="003173C4" w:rsidRPr="000121C8">
        <w:rPr>
          <w:rFonts w:ascii="Myriad Pro" w:hAnsi="Myriad Pro"/>
        </w:rPr>
        <w:t>,</w:t>
      </w:r>
      <w:r w:rsidRPr="000121C8">
        <w:rPr>
          <w:rFonts w:ascii="Myriad Pro" w:hAnsi="Myriad Pro"/>
        </w:rPr>
        <w:t>”</w:t>
      </w:r>
      <w:r w:rsidR="003173C4" w:rsidRPr="000121C8">
        <w:rPr>
          <w:rFonts w:ascii="Myriad Pro" w:hAnsi="Myriad Pro"/>
        </w:rPr>
        <w:t xml:space="preserve"> 8 U.S.C. § 1182(a)(4)</w:t>
      </w:r>
      <w:r w:rsidRPr="000121C8">
        <w:rPr>
          <w:rFonts w:ascii="Myriad Pro" w:hAnsi="Myriad Pro"/>
        </w:rPr>
        <w:t xml:space="preserve"> </w:t>
      </w:r>
      <w:r w:rsidR="00D17D52" w:rsidRPr="000121C8">
        <w:rPr>
          <w:rFonts w:ascii="Myriad Pro" w:hAnsi="Myriad Pro"/>
        </w:rPr>
        <w:t xml:space="preserve">– that </w:t>
      </w:r>
      <w:r w:rsidRPr="000121C8">
        <w:rPr>
          <w:rFonts w:ascii="Myriad Pro" w:hAnsi="Myriad Pro"/>
        </w:rPr>
        <w:t xml:space="preserve">they are not likely to become dependent upon the government to subsist. </w:t>
      </w:r>
      <w:r w:rsidR="00D17D52" w:rsidRPr="000121C8">
        <w:rPr>
          <w:rFonts w:ascii="Myriad Pro" w:hAnsi="Myriad Pro"/>
        </w:rPr>
        <w:t xml:space="preserve">In 2019, </w:t>
      </w:r>
      <w:r w:rsidR="000D4663" w:rsidRPr="000121C8">
        <w:rPr>
          <w:rFonts w:ascii="Myriad Pro" w:hAnsi="Myriad Pro"/>
        </w:rPr>
        <w:t xml:space="preserve">during Trump’s first term, </w:t>
      </w:r>
      <w:r w:rsidR="00D17D52" w:rsidRPr="000121C8">
        <w:rPr>
          <w:rFonts w:ascii="Myriad Pro" w:hAnsi="Myriad Pro"/>
        </w:rPr>
        <w:t xml:space="preserve">DHS published a rule that considered disability and factors closely tied to disability </w:t>
      </w:r>
      <w:r w:rsidR="00C46170" w:rsidRPr="000121C8">
        <w:rPr>
          <w:rFonts w:ascii="Myriad Pro" w:hAnsi="Myriad Pro"/>
        </w:rPr>
        <w:t>(</w:t>
      </w:r>
      <w:r w:rsidR="004E50B4" w:rsidRPr="000121C8">
        <w:rPr>
          <w:rFonts w:ascii="Myriad Pro" w:hAnsi="Myriad Pro"/>
        </w:rPr>
        <w:t>such as receipt of Medicaid</w:t>
      </w:r>
      <w:r w:rsidR="00C46170" w:rsidRPr="000121C8">
        <w:rPr>
          <w:rFonts w:ascii="Myriad Pro" w:hAnsi="Myriad Pro"/>
        </w:rPr>
        <w:t>)</w:t>
      </w:r>
      <w:r w:rsidR="004E50B4" w:rsidRPr="000121C8">
        <w:rPr>
          <w:rFonts w:ascii="Myriad Pro" w:hAnsi="Myriad Pro"/>
        </w:rPr>
        <w:t xml:space="preserve"> </w:t>
      </w:r>
      <w:r w:rsidR="00D17D52" w:rsidRPr="000121C8">
        <w:rPr>
          <w:rFonts w:ascii="Myriad Pro" w:hAnsi="Myriad Pro"/>
        </w:rPr>
        <w:t>as negative factors in the public charge assessment.</w:t>
      </w:r>
      <w:r w:rsidRPr="000121C8">
        <w:rPr>
          <w:rFonts w:ascii="Myriad Pro" w:hAnsi="Myriad Pro"/>
        </w:rPr>
        <w:t xml:space="preserve"> </w:t>
      </w:r>
      <w:r w:rsidR="00D17D52" w:rsidRPr="000121C8">
        <w:rPr>
          <w:rFonts w:ascii="Myriad Pro" w:hAnsi="Myriad Pro"/>
        </w:rPr>
        <w:t xml:space="preserve">Lawsuits </w:t>
      </w:r>
      <w:r w:rsidR="006822BA" w:rsidRPr="000121C8">
        <w:rPr>
          <w:rFonts w:ascii="Myriad Pro" w:hAnsi="Myriad Pro"/>
        </w:rPr>
        <w:t xml:space="preserve">were filed to challenge </w:t>
      </w:r>
      <w:r w:rsidR="00D17D52" w:rsidRPr="000121C8">
        <w:rPr>
          <w:rFonts w:ascii="Myriad Pro" w:hAnsi="Myriad Pro"/>
        </w:rPr>
        <w:t>the new rule as unlawful, including because it discriminated against people with disabilities</w:t>
      </w:r>
      <w:r w:rsidR="006822BA" w:rsidRPr="000121C8">
        <w:rPr>
          <w:rFonts w:ascii="Myriad Pro" w:hAnsi="Myriad Pro"/>
        </w:rPr>
        <w:t xml:space="preserve"> in violation of Section 504</w:t>
      </w:r>
      <w:r w:rsidR="00D17D52" w:rsidRPr="000121C8">
        <w:rPr>
          <w:rFonts w:ascii="Myriad Pro" w:hAnsi="Myriad Pro"/>
        </w:rPr>
        <w:t>.</w:t>
      </w:r>
    </w:p>
    <w:p w14:paraId="6C40BC29" w14:textId="3813FC38" w:rsidR="000D4663" w:rsidRPr="000121C8" w:rsidRDefault="006822BA" w:rsidP="00D71FA8">
      <w:pPr>
        <w:widowControl w:val="0"/>
        <w:spacing w:after="240"/>
        <w:rPr>
          <w:rFonts w:ascii="Myriad Pro" w:hAnsi="Myriad Pro"/>
        </w:rPr>
      </w:pPr>
      <w:r w:rsidRPr="000121C8">
        <w:rPr>
          <w:rFonts w:ascii="Myriad Pro" w:hAnsi="Myriad Pro"/>
        </w:rPr>
        <w:t xml:space="preserve">The Southern District of New York </w:t>
      </w:r>
      <w:r w:rsidR="00353197" w:rsidRPr="000121C8">
        <w:rPr>
          <w:rFonts w:ascii="Myriad Pro" w:hAnsi="Myriad Pro"/>
        </w:rPr>
        <w:t xml:space="preserve">sided with the </w:t>
      </w:r>
      <w:r w:rsidR="00D17D52" w:rsidRPr="000121C8">
        <w:rPr>
          <w:rFonts w:ascii="Myriad Pro" w:hAnsi="Myriad Pro"/>
        </w:rPr>
        <w:t>plaintiffs on their Section 504 claims</w:t>
      </w:r>
      <w:r w:rsidRPr="000121C8">
        <w:rPr>
          <w:rFonts w:ascii="Myriad Pro" w:hAnsi="Myriad Pro"/>
        </w:rPr>
        <w:t xml:space="preserve">. The court cited </w:t>
      </w:r>
      <w:r w:rsidR="00D17D52" w:rsidRPr="000121C8">
        <w:rPr>
          <w:rFonts w:ascii="Myriad Pro" w:hAnsi="Myriad Pro"/>
        </w:rPr>
        <w:t xml:space="preserve">various regulatory provisions, including the prohibition on using discriminatory criteria or </w:t>
      </w:r>
      <w:r w:rsidR="003478C0" w:rsidRPr="000121C8">
        <w:rPr>
          <w:rFonts w:ascii="Myriad Pro" w:hAnsi="Myriad Pro"/>
        </w:rPr>
        <w:t>“</w:t>
      </w:r>
      <w:r w:rsidR="00D17D52" w:rsidRPr="000121C8">
        <w:rPr>
          <w:rFonts w:ascii="Myriad Pro" w:hAnsi="Myriad Pro"/>
        </w:rPr>
        <w:t>methods of administration</w:t>
      </w:r>
      <w:r w:rsidR="003478C0" w:rsidRPr="000121C8">
        <w:rPr>
          <w:rFonts w:ascii="Myriad Pro" w:hAnsi="Myriad Pro"/>
        </w:rPr>
        <w:t xml:space="preserve">” </w:t>
      </w:r>
      <w:r w:rsidRPr="000121C8">
        <w:rPr>
          <w:rFonts w:ascii="Myriad Pro" w:hAnsi="Myriad Pro"/>
        </w:rPr>
        <w:t xml:space="preserve">that have the effect of disability discrimination. </w:t>
      </w:r>
      <w:r w:rsidR="003478C0" w:rsidRPr="000121C8">
        <w:rPr>
          <w:rFonts w:ascii="Myriad Pro" w:hAnsi="Myriad Pro"/>
          <w:i/>
          <w:iCs/>
        </w:rPr>
        <w:t xml:space="preserve">New York v. United States </w:t>
      </w:r>
      <w:proofErr w:type="spellStart"/>
      <w:r w:rsidR="003478C0" w:rsidRPr="000121C8">
        <w:rPr>
          <w:rFonts w:ascii="Myriad Pro" w:hAnsi="Myriad Pro"/>
          <w:i/>
          <w:iCs/>
        </w:rPr>
        <w:t>Dep’t</w:t>
      </w:r>
      <w:proofErr w:type="spellEnd"/>
      <w:r w:rsidR="003478C0" w:rsidRPr="000121C8">
        <w:rPr>
          <w:rFonts w:ascii="Myriad Pro" w:hAnsi="Myriad Pro"/>
          <w:i/>
          <w:iCs/>
        </w:rPr>
        <w:t xml:space="preserve"> of Homeland Sec</w:t>
      </w:r>
      <w:r w:rsidR="003478C0" w:rsidRPr="000121C8">
        <w:rPr>
          <w:rFonts w:ascii="Myriad Pro" w:hAnsi="Myriad Pro"/>
        </w:rPr>
        <w:t xml:space="preserve">., 408 F. Supp. 3d 334, 350 (S.D.N.Y. 2019) (citing 6 C.F.R. § 15.30(b)(4)); </w:t>
      </w:r>
      <w:r w:rsidR="003478C0" w:rsidRPr="000121C8">
        <w:rPr>
          <w:rFonts w:ascii="Myriad Pro" w:hAnsi="Myriad Pro"/>
          <w:i/>
          <w:iCs/>
        </w:rPr>
        <w:t>Make the Rd. N.Y. v. Cuccinelli</w:t>
      </w:r>
      <w:r w:rsidR="003478C0" w:rsidRPr="000121C8">
        <w:rPr>
          <w:rFonts w:ascii="Myriad Pro" w:hAnsi="Myriad Pro"/>
        </w:rPr>
        <w:t>, 419 F. Supp. 3d 647, 664 (S.D.N.Y. 2019) (same)</w:t>
      </w:r>
      <w:r w:rsidRPr="000121C8">
        <w:rPr>
          <w:rFonts w:ascii="Myriad Pro" w:hAnsi="Myriad Pro"/>
        </w:rPr>
        <w:t>.</w:t>
      </w:r>
    </w:p>
    <w:p w14:paraId="61EB8EFE" w14:textId="1D2C5308" w:rsidR="000D4663" w:rsidRPr="000121C8" w:rsidRDefault="000D4663" w:rsidP="00D71FA8">
      <w:pPr>
        <w:widowControl w:val="0"/>
        <w:spacing w:after="240"/>
        <w:rPr>
          <w:rFonts w:ascii="Myriad Pro" w:hAnsi="Myriad Pro"/>
        </w:rPr>
      </w:pPr>
      <w:r w:rsidRPr="000121C8">
        <w:rPr>
          <w:rFonts w:ascii="Myriad Pro" w:hAnsi="Myriad Pro"/>
          <w:i/>
          <w:iCs/>
        </w:rPr>
        <w:t>Subsequent case history:</w:t>
      </w:r>
      <w:r w:rsidRPr="000121C8">
        <w:rPr>
          <w:rFonts w:ascii="Myriad Pro" w:hAnsi="Myriad Pro"/>
        </w:rPr>
        <w:t xml:space="preserve"> </w:t>
      </w:r>
      <w:r w:rsidR="00C46170" w:rsidRPr="000121C8">
        <w:rPr>
          <w:rFonts w:ascii="Myriad Pro" w:hAnsi="Myriad Pro"/>
        </w:rPr>
        <w:t xml:space="preserve">In March 2021, the </w:t>
      </w:r>
      <w:r w:rsidR="00C551C7" w:rsidRPr="000121C8">
        <w:rPr>
          <w:rFonts w:ascii="Myriad Pro" w:hAnsi="Myriad Pro"/>
        </w:rPr>
        <w:t xml:space="preserve">public charge litigation </w:t>
      </w:r>
      <w:r w:rsidR="00C46170" w:rsidRPr="000121C8">
        <w:rPr>
          <w:rFonts w:ascii="Myriad Pro" w:hAnsi="Myriad Pro"/>
        </w:rPr>
        <w:t xml:space="preserve">settled </w:t>
      </w:r>
      <w:r w:rsidR="00C551C7" w:rsidRPr="000121C8">
        <w:rPr>
          <w:rFonts w:ascii="Myriad Pro" w:hAnsi="Myriad Pro"/>
        </w:rPr>
        <w:t xml:space="preserve">when </w:t>
      </w:r>
      <w:r w:rsidR="00C46170" w:rsidRPr="000121C8">
        <w:rPr>
          <w:rFonts w:ascii="Myriad Pro" w:hAnsi="Myriad Pro"/>
        </w:rPr>
        <w:t xml:space="preserve">the Biden administration declined to defend the 2019 rule. </w:t>
      </w:r>
      <w:r w:rsidRPr="000121C8">
        <w:rPr>
          <w:rFonts w:ascii="Myriad Pro" w:hAnsi="Myriad Pro"/>
        </w:rPr>
        <w:t xml:space="preserve">In December 2022, the </w:t>
      </w:r>
      <w:r w:rsidR="00C46170" w:rsidRPr="000121C8">
        <w:rPr>
          <w:rFonts w:ascii="Myriad Pro" w:hAnsi="Myriad Pro"/>
        </w:rPr>
        <w:t xml:space="preserve">Biden administration finalized a new public charge rule </w:t>
      </w:r>
      <w:r w:rsidRPr="000121C8">
        <w:rPr>
          <w:rFonts w:ascii="Myriad Pro" w:hAnsi="Myriad Pro"/>
        </w:rPr>
        <w:t>in</w:t>
      </w:r>
      <w:r w:rsidR="00F30383">
        <w:rPr>
          <w:rFonts w:ascii="Myriad Pro" w:hAnsi="Myriad Pro"/>
        </w:rPr>
        <w:t xml:space="preserve"> </w:t>
      </w:r>
      <w:r w:rsidRPr="000121C8">
        <w:rPr>
          <w:rFonts w:ascii="Myriad Pro" w:hAnsi="Myriad Pro"/>
        </w:rPr>
        <w:t xml:space="preserve">that repealed the Trump rule and excluded consideration as negative factors disability and participation in non-cash programs like Medicaid. 87 </w:t>
      </w:r>
      <w:proofErr w:type="spellStart"/>
      <w:r w:rsidRPr="000121C8">
        <w:rPr>
          <w:rFonts w:ascii="Myriad Pro" w:hAnsi="Myriad Pro"/>
        </w:rPr>
        <w:t>Fed.Reg</w:t>
      </w:r>
      <w:proofErr w:type="spellEnd"/>
      <w:r w:rsidRPr="000121C8">
        <w:rPr>
          <w:rFonts w:ascii="Myriad Pro" w:hAnsi="Myriad Pro"/>
        </w:rPr>
        <w:t xml:space="preserve">. 55472, 55521, 55474-75 (Dec. 23, 2022). </w:t>
      </w:r>
      <w:r w:rsidR="00C46170" w:rsidRPr="000121C8">
        <w:rPr>
          <w:rFonts w:ascii="Myriad Pro" w:hAnsi="Myriad Pro"/>
        </w:rPr>
        <w:t xml:space="preserve">In November 2025, in Trump’s second term, DHS proposed a new rule which would </w:t>
      </w:r>
      <w:r w:rsidRPr="000121C8">
        <w:rPr>
          <w:rFonts w:ascii="Myriad Pro" w:hAnsi="Myriad Pro"/>
        </w:rPr>
        <w:t xml:space="preserve">rescind “all regulatory limitations on the types of public resources that are relevant for considering” whether an immigrant is a public charge, granting DHS officers substantial discretion to consider Medicaid and other non-cash programs. 90 </w:t>
      </w:r>
      <w:proofErr w:type="spellStart"/>
      <w:r w:rsidRPr="000121C8">
        <w:rPr>
          <w:rFonts w:ascii="Myriad Pro" w:hAnsi="Myriad Pro"/>
        </w:rPr>
        <w:t>Fed.Reg</w:t>
      </w:r>
      <w:proofErr w:type="spellEnd"/>
      <w:r w:rsidRPr="000121C8">
        <w:rPr>
          <w:rFonts w:ascii="Myriad Pro" w:hAnsi="Myriad Pro"/>
        </w:rPr>
        <w:t>. 52168, 52183-84, 52186 (Nov. 19, 2025).</w:t>
      </w:r>
      <w:r w:rsidR="003173C4" w:rsidRPr="000121C8">
        <w:rPr>
          <w:rStyle w:val="FootnoteReference"/>
          <w:rFonts w:ascii="Myriad Pro" w:hAnsi="Myriad Pro"/>
        </w:rPr>
        <w:footnoteReference w:id="7"/>
      </w:r>
      <w:r w:rsidRPr="000121C8">
        <w:rPr>
          <w:rFonts w:ascii="Myriad Pro" w:hAnsi="Myriad Pro"/>
        </w:rPr>
        <w:t xml:space="preserve"> Renewed litigation is anticipated. </w:t>
      </w:r>
    </w:p>
    <w:p w14:paraId="2EA93F4D" w14:textId="4CF75A80" w:rsidR="00E138BB" w:rsidRPr="00D71FA8" w:rsidRDefault="00E138BB" w:rsidP="00F30383">
      <w:pPr>
        <w:pStyle w:val="Heading2"/>
      </w:pPr>
      <w:r w:rsidRPr="000121C8">
        <w:lastRenderedPageBreak/>
        <w:t>Circuit Split: Unintentional Disability Discrimination</w:t>
      </w:r>
    </w:p>
    <w:p w14:paraId="290B4C24" w14:textId="4857C26E" w:rsidR="00E138BB" w:rsidRPr="000121C8" w:rsidRDefault="00E138BB" w:rsidP="00D71FA8">
      <w:pPr>
        <w:widowControl w:val="0"/>
        <w:spacing w:after="240"/>
        <w:rPr>
          <w:rFonts w:ascii="Myriad Pro" w:hAnsi="Myriad Pro"/>
        </w:rPr>
      </w:pPr>
      <w:r w:rsidRPr="000121C8">
        <w:rPr>
          <w:rFonts w:ascii="Myriad Pro" w:hAnsi="Myriad Pro"/>
        </w:rPr>
        <w:t xml:space="preserve">The majority rule is that Section 504 prohibits all forms of disability discrimination, regardless of whether it is intentional or not. </w:t>
      </w:r>
      <w:r w:rsidRPr="000121C8">
        <w:rPr>
          <w:rFonts w:ascii="Myriad Pro" w:hAnsi="Myriad Pro"/>
          <w:i/>
          <w:iCs/>
        </w:rPr>
        <w:t>See</w:t>
      </w:r>
      <w:r w:rsidRPr="000121C8">
        <w:rPr>
          <w:rFonts w:ascii="Myriad Pro" w:hAnsi="Myriad Pro"/>
        </w:rPr>
        <w:t xml:space="preserve">, </w:t>
      </w:r>
      <w:r w:rsidRPr="000121C8">
        <w:rPr>
          <w:rFonts w:ascii="Myriad Pro" w:hAnsi="Myriad Pro"/>
          <w:i/>
          <w:iCs/>
        </w:rPr>
        <w:t>e.g.</w:t>
      </w:r>
      <w:r w:rsidRPr="000121C8">
        <w:rPr>
          <w:rFonts w:ascii="Myriad Pro" w:hAnsi="Myriad Pro"/>
        </w:rPr>
        <w:t xml:space="preserve">, </w:t>
      </w:r>
      <w:r w:rsidRPr="000121C8">
        <w:rPr>
          <w:rFonts w:ascii="Myriad Pro" w:hAnsi="Myriad Pro"/>
          <w:i/>
          <w:iCs/>
        </w:rPr>
        <w:t>Doe v. CVS Pharmacy, Inc</w:t>
      </w:r>
      <w:r w:rsidRPr="000121C8">
        <w:rPr>
          <w:rFonts w:ascii="Myriad Pro" w:hAnsi="Myriad Pro"/>
        </w:rPr>
        <w:t xml:space="preserve">., 982 F.3d 1204, 1211 (9th Cir. 2020) (“The fact that the benefit is facially neutral does not dispose of a disparate impact claim based on lack of meaningful access.”); </w:t>
      </w:r>
      <w:r w:rsidRPr="000121C8">
        <w:rPr>
          <w:rFonts w:ascii="Myriad Pro" w:hAnsi="Myriad Pro"/>
          <w:i/>
          <w:iCs/>
        </w:rPr>
        <w:t xml:space="preserve">New York v. United States </w:t>
      </w:r>
      <w:proofErr w:type="spellStart"/>
      <w:r w:rsidRPr="000121C8">
        <w:rPr>
          <w:rFonts w:ascii="Myriad Pro" w:hAnsi="Myriad Pro"/>
          <w:i/>
          <w:iCs/>
        </w:rPr>
        <w:t>Dep’t</w:t>
      </w:r>
      <w:proofErr w:type="spellEnd"/>
      <w:r w:rsidRPr="000121C8">
        <w:rPr>
          <w:rFonts w:ascii="Myriad Pro" w:hAnsi="Myriad Pro"/>
          <w:i/>
          <w:iCs/>
        </w:rPr>
        <w:t xml:space="preserve"> of Homeland Sec</w:t>
      </w:r>
      <w:r w:rsidRPr="000121C8">
        <w:rPr>
          <w:rFonts w:ascii="Myriad Pro" w:hAnsi="Myriad Pro"/>
        </w:rPr>
        <w:t xml:space="preserve">., 408 F. Supp. 3d 334, 349-50 (S.D.N.Y. 2019) (“Exclusion or discrimination may take the form of disparate treatment, disparate impact, or failure to make reasonable accommodation.”) (citation omitted); </w:t>
      </w:r>
      <w:r w:rsidRPr="000121C8">
        <w:rPr>
          <w:rFonts w:ascii="Myriad Pro" w:hAnsi="Myriad Pro"/>
          <w:i/>
          <w:iCs/>
        </w:rPr>
        <w:t>see also</w:t>
      </w:r>
      <w:r w:rsidRPr="000121C8">
        <w:rPr>
          <w:rFonts w:ascii="Myriad Pro" w:hAnsi="Myriad Pro"/>
        </w:rPr>
        <w:t xml:space="preserve"> </w:t>
      </w:r>
      <w:r w:rsidRPr="000121C8">
        <w:rPr>
          <w:rFonts w:ascii="Myriad Pro" w:hAnsi="Myriad Pro"/>
          <w:i/>
          <w:iCs/>
        </w:rPr>
        <w:t>Alexander v. Choate</w:t>
      </w:r>
      <w:r w:rsidRPr="000121C8">
        <w:rPr>
          <w:rFonts w:ascii="Myriad Pro" w:hAnsi="Myriad Pro"/>
        </w:rPr>
        <w:t xml:space="preserve">, 469 U.S. 287, 296-97, 299 (1985) (assuming without deciding that “§ 504 reaches at least some conduct that has an unjustifiable disparate impact upon the handicapped,” noting that “much of the conduct that Congress sought to alter in passing the Rehabilitation Act would be difficult if not impossible to reach were the Act construed to proscribe only conduct fueled by a discriminatory intent.”). </w:t>
      </w:r>
    </w:p>
    <w:p w14:paraId="6980EC3E" w14:textId="69CADF4F" w:rsidR="00E138BB" w:rsidRPr="000121C8" w:rsidRDefault="00E138BB" w:rsidP="00D71FA8">
      <w:pPr>
        <w:widowControl w:val="0"/>
        <w:spacing w:after="240"/>
        <w:rPr>
          <w:rFonts w:ascii="Myriad Pro" w:hAnsi="Myriad Pro"/>
        </w:rPr>
      </w:pPr>
      <w:r w:rsidRPr="000121C8">
        <w:rPr>
          <w:rFonts w:ascii="Myriad Pro" w:hAnsi="Myriad Pro"/>
        </w:rPr>
        <w:t xml:space="preserve">The Sixth Circuit has ruled that Section 504 does not prohibit “disparate impact” discrimination. </w:t>
      </w:r>
      <w:r w:rsidRPr="000121C8">
        <w:rPr>
          <w:rFonts w:ascii="Myriad Pro" w:hAnsi="Myriad Pro"/>
          <w:i/>
          <w:iCs/>
        </w:rPr>
        <w:t>Doe v. BlueCross BlueShield of Tenn., Inc.</w:t>
      </w:r>
      <w:r w:rsidRPr="000121C8">
        <w:rPr>
          <w:rFonts w:ascii="Myriad Pro" w:hAnsi="Myriad Pro"/>
        </w:rPr>
        <w:t xml:space="preserve">, 926 F.3d 235, 241 (6th Cir. 2019). </w:t>
      </w:r>
    </w:p>
    <w:p w14:paraId="55886F39" w14:textId="26E5C260" w:rsidR="00E138BB" w:rsidRPr="000121C8" w:rsidRDefault="00E138BB" w:rsidP="00D71FA8">
      <w:pPr>
        <w:widowControl w:val="0"/>
        <w:spacing w:after="240"/>
        <w:rPr>
          <w:rFonts w:ascii="Myriad Pro" w:hAnsi="Myriad Pro"/>
        </w:rPr>
      </w:pPr>
      <w:r w:rsidRPr="000121C8">
        <w:rPr>
          <w:rFonts w:ascii="Myriad Pro" w:hAnsi="Myriad Pro"/>
        </w:rPr>
        <w:t xml:space="preserve">In practice, actions and inactions that discriminate based on disability often violate more than one of these prohibitions, as they are interrelated. In other words, advocates can often challenge the actions and inactions of immigration entities as intentional disability discrimination and failure to accommodate without needing to allege unintentional or disparate impact discrimination. </w:t>
      </w:r>
    </w:p>
    <w:p w14:paraId="1E67BF75" w14:textId="0FFF68D0" w:rsidR="00B11B84" w:rsidRPr="00D71FA8" w:rsidRDefault="00DD0A84" w:rsidP="00425BDA">
      <w:pPr>
        <w:pStyle w:val="Heading1"/>
      </w:pPr>
      <w:r w:rsidRPr="00D71FA8">
        <w:t xml:space="preserve">Requirement: </w:t>
      </w:r>
      <w:r w:rsidR="00FC29ED" w:rsidRPr="00D71FA8">
        <w:t>Individual</w:t>
      </w:r>
      <w:r w:rsidR="00426540" w:rsidRPr="00D71FA8">
        <w:t xml:space="preserve"> Must Be “Qualified”</w:t>
      </w:r>
    </w:p>
    <w:p w14:paraId="41E74832" w14:textId="5464B9D8" w:rsidR="000370EB" w:rsidRPr="000121C8" w:rsidRDefault="00302358" w:rsidP="00D71FA8">
      <w:pPr>
        <w:widowControl w:val="0"/>
        <w:spacing w:after="240"/>
        <w:rPr>
          <w:rFonts w:ascii="Myriad Pro" w:hAnsi="Myriad Pro"/>
        </w:rPr>
      </w:pPr>
      <w:r w:rsidRPr="000121C8">
        <w:rPr>
          <w:rFonts w:ascii="Myriad Pro" w:hAnsi="Myriad Pro"/>
        </w:rPr>
        <w:t xml:space="preserve">The disabled person must be “qualified” </w:t>
      </w:r>
      <w:r w:rsidR="006822BA" w:rsidRPr="000121C8">
        <w:rPr>
          <w:rFonts w:ascii="Myriad Pro" w:hAnsi="Myriad Pro"/>
        </w:rPr>
        <w:t xml:space="preserve">to bring a claim under Section 504. </w:t>
      </w:r>
      <w:r w:rsidRPr="000121C8">
        <w:rPr>
          <w:rFonts w:ascii="Myriad Pro" w:hAnsi="Myriad Pro"/>
        </w:rPr>
        <w:t xml:space="preserve">This means that the disabled person </w:t>
      </w:r>
      <w:r w:rsidR="00BC1E78" w:rsidRPr="000121C8">
        <w:rPr>
          <w:rFonts w:ascii="Myriad Pro" w:hAnsi="Myriad Pro"/>
        </w:rPr>
        <w:t>“</w:t>
      </w:r>
      <w:r w:rsidR="000370EB" w:rsidRPr="000121C8">
        <w:rPr>
          <w:rFonts w:ascii="Myriad Pro" w:hAnsi="Myriad Pro"/>
        </w:rPr>
        <w:t xml:space="preserve">meets the essential eligibility requirements and can achieve the purpose of the program or activity without modifications in the program or activity that the Department can demonstrate would result in a fundamental alteration in the nature of the program.” </w:t>
      </w:r>
      <w:r w:rsidR="00BC1E78" w:rsidRPr="000121C8">
        <w:rPr>
          <w:rFonts w:ascii="Myriad Pro" w:hAnsi="Myriad Pro"/>
        </w:rPr>
        <w:t xml:space="preserve"> 28 C.F.R. § 39.103; 6 C.F.R. § 15.3(e)(2). </w:t>
      </w:r>
    </w:p>
    <w:p w14:paraId="6AB49C9F" w14:textId="5E626FF9" w:rsidR="00F30383" w:rsidRPr="000121C8" w:rsidRDefault="008A54E4" w:rsidP="00D71FA8">
      <w:pPr>
        <w:widowControl w:val="0"/>
        <w:spacing w:after="240"/>
        <w:rPr>
          <w:rFonts w:ascii="Myriad Pro" w:hAnsi="Myriad Pro"/>
        </w:rPr>
      </w:pPr>
      <w:r w:rsidRPr="000121C8">
        <w:rPr>
          <w:rFonts w:ascii="Myriad Pro" w:hAnsi="Myriad Pro"/>
        </w:rPr>
        <w:t xml:space="preserve">In the context of immigration, this requirement can be about whether the person is qualified or eligible for different statuses such as release from detention, asylum, adjustment of status, or naturalization. It can also be about whether the person is qualified or eligible to participate in procedures such as competency assessments </w:t>
      </w:r>
      <w:r w:rsidR="00D66EE4" w:rsidRPr="000121C8">
        <w:rPr>
          <w:rFonts w:ascii="Myriad Pro" w:hAnsi="Myriad Pro"/>
        </w:rPr>
        <w:t xml:space="preserve">and </w:t>
      </w:r>
      <w:r w:rsidRPr="000121C8">
        <w:rPr>
          <w:rFonts w:ascii="Myriad Pro" w:hAnsi="Myriad Pro"/>
        </w:rPr>
        <w:t xml:space="preserve">immigration hearings, or </w:t>
      </w:r>
      <w:r w:rsidR="00D66EE4" w:rsidRPr="000121C8">
        <w:rPr>
          <w:rFonts w:ascii="Myriad Pro" w:hAnsi="Myriad Pro"/>
        </w:rPr>
        <w:t xml:space="preserve">day-to-day </w:t>
      </w:r>
      <w:r w:rsidRPr="000121C8">
        <w:rPr>
          <w:rFonts w:ascii="Myriad Pro" w:hAnsi="Myriad Pro"/>
        </w:rPr>
        <w:t xml:space="preserve">activities in detention </w:t>
      </w:r>
      <w:r w:rsidR="00D66EE4" w:rsidRPr="000121C8">
        <w:rPr>
          <w:rFonts w:ascii="Myriad Pro" w:hAnsi="Myriad Pro"/>
        </w:rPr>
        <w:t xml:space="preserve">like </w:t>
      </w:r>
      <w:r w:rsidRPr="000121C8">
        <w:rPr>
          <w:rFonts w:ascii="Myriad Pro" w:hAnsi="Myriad Pro"/>
        </w:rPr>
        <w:t xml:space="preserve">phone calls, attorney meetings, </w:t>
      </w:r>
      <w:r w:rsidR="00D66EE4" w:rsidRPr="000121C8">
        <w:rPr>
          <w:rFonts w:ascii="Myriad Pro" w:hAnsi="Myriad Pro"/>
        </w:rPr>
        <w:t xml:space="preserve">mail, </w:t>
      </w:r>
      <w:r w:rsidRPr="000121C8">
        <w:rPr>
          <w:rFonts w:ascii="Myriad Pro" w:hAnsi="Myriad Pro"/>
        </w:rPr>
        <w:t>food, water, and shelter.</w:t>
      </w:r>
    </w:p>
    <w:p w14:paraId="620A3F01" w14:textId="24EC48FC" w:rsidR="000E7ACB" w:rsidRPr="00DD4F6D" w:rsidRDefault="004928CD" w:rsidP="00F30383">
      <w:pPr>
        <w:pStyle w:val="Heading2"/>
      </w:pPr>
      <w:r w:rsidRPr="000121C8">
        <w:t>Case Example: “Qualified” Individual</w:t>
      </w:r>
    </w:p>
    <w:p w14:paraId="1AE9CD58" w14:textId="17B8AF82" w:rsidR="00B11B84" w:rsidRPr="000121C8" w:rsidRDefault="00B90206" w:rsidP="00D71FA8">
      <w:pPr>
        <w:widowControl w:val="0"/>
        <w:spacing w:after="240"/>
        <w:rPr>
          <w:rFonts w:ascii="Myriad Pro" w:hAnsi="Myriad Pro"/>
          <w:bdr w:val="none" w:sz="0" w:space="0" w:color="auto" w:frame="1"/>
        </w:rPr>
      </w:pPr>
      <w:r w:rsidRPr="000121C8">
        <w:rPr>
          <w:rFonts w:ascii="Myriad Pro" w:hAnsi="Myriad Pro"/>
          <w:bdr w:val="none" w:sz="0" w:space="0" w:color="auto" w:frame="1"/>
        </w:rPr>
        <w:t xml:space="preserve">In </w:t>
      </w:r>
      <w:r w:rsidRPr="000121C8">
        <w:rPr>
          <w:rFonts w:ascii="Myriad Pro" w:hAnsi="Myriad Pro"/>
          <w:i/>
          <w:iCs/>
          <w:bdr w:val="none" w:sz="0" w:space="0" w:color="auto" w:frame="1"/>
        </w:rPr>
        <w:t>Galvez-Letona v. Kirkpatrick</w:t>
      </w:r>
      <w:r w:rsidRPr="000121C8">
        <w:rPr>
          <w:rFonts w:ascii="Myriad Pro" w:hAnsi="Myriad Pro"/>
          <w:bdr w:val="none" w:sz="0" w:space="0" w:color="auto" w:frame="1"/>
        </w:rPr>
        <w:t>, 54 F. Supp. 2d 1218,1225 (D. Utah 1999),</w:t>
      </w:r>
      <w:r w:rsidR="00912504" w:rsidRPr="000121C8">
        <w:rPr>
          <w:rFonts w:ascii="Myriad Pro" w:hAnsi="Myriad Pro"/>
        </w:rPr>
        <w:t xml:space="preserve"> </w:t>
      </w:r>
      <w:r w:rsidR="00912504" w:rsidRPr="000121C8">
        <w:rPr>
          <w:rFonts w:ascii="Myriad Pro" w:hAnsi="Myriad Pro"/>
          <w:i/>
          <w:iCs/>
          <w:bdr w:val="none" w:sz="0" w:space="0" w:color="auto" w:frame="1"/>
        </w:rPr>
        <w:t>aff'd on other grounds</w:t>
      </w:r>
      <w:r w:rsidR="00912504" w:rsidRPr="000121C8">
        <w:rPr>
          <w:rFonts w:ascii="Myriad Pro" w:hAnsi="Myriad Pro"/>
          <w:bdr w:val="none" w:sz="0" w:space="0" w:color="auto" w:frame="1"/>
        </w:rPr>
        <w:t xml:space="preserve">, 246 F.3d 680 (10th Cir. 2001), </w:t>
      </w:r>
      <w:r w:rsidRPr="000121C8">
        <w:rPr>
          <w:rFonts w:ascii="Myriad Pro" w:hAnsi="Myriad Pro"/>
          <w:bdr w:val="none" w:sz="0" w:space="0" w:color="auto" w:frame="1"/>
        </w:rPr>
        <w:t xml:space="preserve">the </w:t>
      </w:r>
      <w:r w:rsidR="000370EB" w:rsidRPr="000121C8">
        <w:rPr>
          <w:rFonts w:ascii="Myriad Pro" w:hAnsi="Myriad Pro"/>
          <w:bdr w:val="none" w:sz="0" w:space="0" w:color="auto" w:frame="1"/>
        </w:rPr>
        <w:t xml:space="preserve">district court </w:t>
      </w:r>
      <w:r w:rsidR="00E12FB6" w:rsidRPr="000121C8">
        <w:rPr>
          <w:rFonts w:ascii="Myriad Pro" w:hAnsi="Myriad Pro"/>
          <w:bdr w:val="none" w:sz="0" w:space="0" w:color="auto" w:frame="1"/>
        </w:rPr>
        <w:t xml:space="preserve">reviewed 28 C.F.R. § 39.103 and </w:t>
      </w:r>
      <w:r w:rsidR="000370EB" w:rsidRPr="000121C8">
        <w:rPr>
          <w:rFonts w:ascii="Myriad Pro" w:hAnsi="Myriad Pro"/>
          <w:bdr w:val="none" w:sz="0" w:space="0" w:color="auto" w:frame="1"/>
        </w:rPr>
        <w:t xml:space="preserve">reasoned that a disabled person is “qualified” if they “meet the ‘essential’ eligibility requirements of the program without any modification at all, or with ‘reasonable’ modifications that do not alter an ‘essential’ requirement that is basic to the nature and purpose of the program.” </w:t>
      </w:r>
      <w:r w:rsidR="000370EB" w:rsidRPr="000121C8">
        <w:rPr>
          <w:rFonts w:ascii="Myriad Pro" w:hAnsi="Myriad Pro"/>
          <w:i/>
          <w:iCs/>
          <w:bdr w:val="none" w:sz="0" w:space="0" w:color="auto" w:frame="1"/>
        </w:rPr>
        <w:t>Id.</w:t>
      </w:r>
      <w:r w:rsidR="000370EB" w:rsidRPr="000121C8">
        <w:rPr>
          <w:rFonts w:ascii="Myriad Pro" w:hAnsi="Myriad Pro"/>
          <w:bdr w:val="none" w:sz="0" w:space="0" w:color="auto" w:frame="1"/>
        </w:rPr>
        <w:t xml:space="preserve"> at 1225 (citing </w:t>
      </w:r>
      <w:r w:rsidR="000370EB" w:rsidRPr="000121C8">
        <w:rPr>
          <w:rFonts w:ascii="Myriad Pro" w:hAnsi="Myriad Pro"/>
          <w:i/>
          <w:iCs/>
          <w:bdr w:val="none" w:sz="0" w:space="0" w:color="auto" w:frame="1"/>
        </w:rPr>
        <w:t>School Board of Nassau County v. Arline</w:t>
      </w:r>
      <w:r w:rsidR="000370EB" w:rsidRPr="000121C8">
        <w:rPr>
          <w:rFonts w:ascii="Myriad Pro" w:hAnsi="Myriad Pro"/>
          <w:bdr w:val="none" w:sz="0" w:space="0" w:color="auto" w:frame="1"/>
        </w:rPr>
        <w:t xml:space="preserve">, 480 U.S. 273, 287 n.17 (1987)). Applying that definition, the court found that the plaintiff – an immigrant with Down Syndrome – was </w:t>
      </w:r>
      <w:r w:rsidR="000370EB" w:rsidRPr="000121C8">
        <w:rPr>
          <w:rFonts w:ascii="Myriad Pro" w:hAnsi="Myriad Pro"/>
          <w:bdr w:val="none" w:sz="0" w:space="0" w:color="auto" w:frame="1"/>
        </w:rPr>
        <w:lastRenderedPageBreak/>
        <w:t xml:space="preserve">qualified for naturalization despite his need for </w:t>
      </w:r>
      <w:r w:rsidR="00E12FB6" w:rsidRPr="000121C8">
        <w:rPr>
          <w:rFonts w:ascii="Myriad Pro" w:hAnsi="Myriad Pro"/>
          <w:bdr w:val="none" w:sz="0" w:space="0" w:color="auto" w:frame="1"/>
        </w:rPr>
        <w:t xml:space="preserve">a </w:t>
      </w:r>
      <w:r w:rsidR="000370EB" w:rsidRPr="000121C8">
        <w:rPr>
          <w:rFonts w:ascii="Myriad Pro" w:hAnsi="Myriad Pro"/>
          <w:bdr w:val="none" w:sz="0" w:space="0" w:color="auto" w:frame="1"/>
        </w:rPr>
        <w:t xml:space="preserve">waiver of the oath requirement. </w:t>
      </w:r>
      <w:r w:rsidR="00E12FB6" w:rsidRPr="000121C8">
        <w:rPr>
          <w:rFonts w:ascii="Myriad Pro" w:hAnsi="Myriad Pro"/>
          <w:bdr w:val="none" w:sz="0" w:space="0" w:color="auto" w:frame="1"/>
        </w:rPr>
        <w:t xml:space="preserve">Citing the waivers made available to children under statute, the court held that “waiving the attachment and oath requirement is a reasonable modification that does not eliminate an essential aspect of the program.” </w:t>
      </w:r>
      <w:r w:rsidR="00E12FB6" w:rsidRPr="000121C8">
        <w:rPr>
          <w:rFonts w:ascii="Myriad Pro" w:hAnsi="Myriad Pro"/>
          <w:i/>
          <w:iCs/>
          <w:bdr w:val="none" w:sz="0" w:space="0" w:color="auto" w:frame="1"/>
        </w:rPr>
        <w:t>Id.</w:t>
      </w:r>
      <w:r w:rsidR="00E12FB6" w:rsidRPr="000121C8">
        <w:rPr>
          <w:rFonts w:ascii="Myriad Pro" w:hAnsi="Myriad Pro"/>
        </w:rPr>
        <w:t xml:space="preserve"> The court rejected the government’s claim that the attachment and oath requirements are “essential” to becoming a citizen and that waiver would cause a fundamental alteration. </w:t>
      </w:r>
      <w:r w:rsidR="00E12FB6" w:rsidRPr="000121C8">
        <w:rPr>
          <w:rFonts w:ascii="Myriad Pro" w:hAnsi="Myriad Pro"/>
          <w:i/>
          <w:iCs/>
        </w:rPr>
        <w:t>Id.</w:t>
      </w:r>
      <w:r w:rsidR="001D7315" w:rsidRPr="000121C8">
        <w:rPr>
          <w:rStyle w:val="FootnoteReference"/>
          <w:rFonts w:ascii="Myriad Pro" w:hAnsi="Myriad Pro"/>
        </w:rPr>
        <w:footnoteReference w:id="8"/>
      </w:r>
      <w:r w:rsidR="00912504" w:rsidRPr="000121C8">
        <w:rPr>
          <w:rFonts w:ascii="Myriad Pro" w:hAnsi="Myriad Pro"/>
          <w:bdr w:val="none" w:sz="0" w:space="0" w:color="auto" w:frame="1"/>
        </w:rPr>
        <w:t xml:space="preserve"> </w:t>
      </w:r>
    </w:p>
    <w:p w14:paraId="53EC2438" w14:textId="66A70019" w:rsidR="00E12FB6" w:rsidRPr="00425BDA" w:rsidRDefault="00DD0A84" w:rsidP="00425BDA">
      <w:pPr>
        <w:pStyle w:val="Heading1"/>
      </w:pPr>
      <w:r w:rsidRPr="00425BDA">
        <w:t xml:space="preserve">Requirement: </w:t>
      </w:r>
      <w:r w:rsidR="003E59A4" w:rsidRPr="00425BDA">
        <w:t>Requested Modification or Accommodation</w:t>
      </w:r>
      <w:r w:rsidRPr="00425BDA">
        <w:t xml:space="preserve"> Must Be Reasonable</w:t>
      </w:r>
    </w:p>
    <w:p w14:paraId="4890EE79" w14:textId="2FBBBB77" w:rsidR="004928CD" w:rsidRPr="000121C8" w:rsidRDefault="003E59A4" w:rsidP="00D71FA8">
      <w:pPr>
        <w:widowControl w:val="0"/>
        <w:spacing w:after="240"/>
        <w:rPr>
          <w:rFonts w:ascii="Myriad Pro" w:hAnsi="Myriad Pro"/>
        </w:rPr>
      </w:pPr>
      <w:r w:rsidRPr="000121C8">
        <w:rPr>
          <w:rFonts w:ascii="Myriad Pro" w:hAnsi="Myriad Pro"/>
        </w:rPr>
        <w:t xml:space="preserve">Agencies may argue that a requested modification is not reasonable. </w:t>
      </w:r>
      <w:r w:rsidR="00651090" w:rsidRPr="000121C8">
        <w:rPr>
          <w:rFonts w:ascii="Myriad Pro" w:hAnsi="Myriad Pro"/>
        </w:rPr>
        <w:t xml:space="preserve">The reasonableness of a requested modification </w:t>
      </w:r>
      <w:r w:rsidR="0089073C" w:rsidRPr="000121C8">
        <w:rPr>
          <w:rFonts w:ascii="Myriad Pro" w:hAnsi="Myriad Pro"/>
        </w:rPr>
        <w:t>“</w:t>
      </w:r>
      <w:r w:rsidR="00651090" w:rsidRPr="000121C8">
        <w:rPr>
          <w:rFonts w:ascii="Myriad Pro" w:hAnsi="Myriad Pro"/>
        </w:rPr>
        <w:t>depends on the individual circumstances of each case,” requiring “a fact-specific, individualized analysis of the disabled individual's circumstances and the accommodations that might allow him to enjoy meaningful access to the program.</w:t>
      </w:r>
      <w:r w:rsidR="0089073C" w:rsidRPr="000121C8">
        <w:rPr>
          <w:rFonts w:ascii="Myriad Pro" w:hAnsi="Myriad Pro"/>
        </w:rPr>
        <w:t>”</w:t>
      </w:r>
      <w:r w:rsidR="00651090" w:rsidRPr="000121C8">
        <w:rPr>
          <w:rFonts w:ascii="Myriad Pro" w:hAnsi="Myriad Pro"/>
        </w:rPr>
        <w:t xml:space="preserve"> </w:t>
      </w:r>
      <w:r w:rsidR="00651090" w:rsidRPr="000121C8">
        <w:rPr>
          <w:rFonts w:ascii="Myriad Pro" w:hAnsi="Myriad Pro"/>
          <w:i/>
          <w:iCs/>
        </w:rPr>
        <w:t>Mark H. v. Hamamoto</w:t>
      </w:r>
      <w:r w:rsidR="00651090" w:rsidRPr="000121C8">
        <w:rPr>
          <w:rFonts w:ascii="Myriad Pro" w:hAnsi="Myriad Pro"/>
        </w:rPr>
        <w:t>, 620 F.3d 1090, 1098 (9th Cir. 2010)</w:t>
      </w:r>
      <w:r w:rsidR="0089073C" w:rsidRPr="000121C8">
        <w:rPr>
          <w:rFonts w:ascii="Myriad Pro" w:hAnsi="Myriad Pro"/>
        </w:rPr>
        <w:t xml:space="preserve">; </w:t>
      </w:r>
      <w:r w:rsidR="0089073C" w:rsidRPr="000121C8">
        <w:rPr>
          <w:rFonts w:ascii="Myriad Pro" w:hAnsi="Myriad Pro"/>
          <w:i/>
          <w:iCs/>
        </w:rPr>
        <w:t>accord</w:t>
      </w:r>
      <w:r w:rsidR="00651090" w:rsidRPr="000121C8">
        <w:rPr>
          <w:rFonts w:ascii="Myriad Pro" w:hAnsi="Myriad Pro"/>
        </w:rPr>
        <w:t xml:space="preserve"> </w:t>
      </w:r>
      <w:r w:rsidR="0089073C" w:rsidRPr="000121C8">
        <w:rPr>
          <w:rFonts w:ascii="Myriad Pro" w:hAnsi="Myriad Pro"/>
          <w:i/>
          <w:iCs/>
        </w:rPr>
        <w:t>Franco-Gonzales v. Holder</w:t>
      </w:r>
      <w:r w:rsidR="0089073C" w:rsidRPr="000121C8">
        <w:rPr>
          <w:rFonts w:ascii="Myriad Pro" w:hAnsi="Myriad Pro"/>
        </w:rPr>
        <w:t xml:space="preserve">, 767 F. Supp. 2d 1034, 1053 (C.D. Cal. 2010) (citing </w:t>
      </w:r>
      <w:r w:rsidR="0089073C" w:rsidRPr="000121C8">
        <w:rPr>
          <w:rFonts w:ascii="Myriad Pro" w:hAnsi="Myriad Pro"/>
          <w:i/>
          <w:iCs/>
        </w:rPr>
        <w:t>Mark H.</w:t>
      </w:r>
      <w:r w:rsidR="0089073C" w:rsidRPr="000121C8">
        <w:rPr>
          <w:rFonts w:ascii="Myriad Pro" w:hAnsi="Myriad Pro"/>
        </w:rPr>
        <w:t xml:space="preserve">). An accommodation that provides a preference is not, in and of itself, unreasonable. </w:t>
      </w:r>
      <w:r w:rsidR="00F87FA0" w:rsidRPr="000121C8">
        <w:rPr>
          <w:rFonts w:ascii="Myriad Pro" w:hAnsi="Myriad Pro"/>
          <w:i/>
          <w:iCs/>
        </w:rPr>
        <w:t>Id</w:t>
      </w:r>
      <w:r w:rsidR="00F87FA0" w:rsidRPr="000121C8">
        <w:rPr>
          <w:rFonts w:ascii="Myriad Pro" w:hAnsi="Myriad Pro"/>
        </w:rPr>
        <w:t xml:space="preserve">. at </w:t>
      </w:r>
      <w:r w:rsidR="0089073C" w:rsidRPr="000121C8">
        <w:rPr>
          <w:rFonts w:ascii="Myriad Pro" w:hAnsi="Myriad Pro"/>
        </w:rPr>
        <w:t>1056 (C.D. Cal. 2010)</w:t>
      </w:r>
      <w:r w:rsidR="0089073C" w:rsidRPr="000121C8" w:rsidDel="0089073C">
        <w:rPr>
          <w:rFonts w:ascii="Myriad Pro" w:hAnsi="Myriad Pro"/>
        </w:rPr>
        <w:t xml:space="preserve"> </w:t>
      </w:r>
      <w:r w:rsidR="00651090" w:rsidRPr="000121C8">
        <w:rPr>
          <w:rFonts w:ascii="Myriad Pro" w:hAnsi="Myriad Pro"/>
        </w:rPr>
        <w:t>(</w:t>
      </w:r>
      <w:r w:rsidR="0089073C" w:rsidRPr="000121C8">
        <w:rPr>
          <w:rFonts w:ascii="Myriad Pro" w:hAnsi="Myriad Pro"/>
        </w:rPr>
        <w:t xml:space="preserve">citing </w:t>
      </w:r>
      <w:r w:rsidR="00651090" w:rsidRPr="000121C8">
        <w:rPr>
          <w:rFonts w:ascii="Myriad Pro" w:hAnsi="Myriad Pro"/>
          <w:i/>
          <w:iCs/>
        </w:rPr>
        <w:t>U.S. Airways, Inc. v. Barnett</w:t>
      </w:r>
      <w:r w:rsidR="00651090" w:rsidRPr="000121C8">
        <w:rPr>
          <w:rFonts w:ascii="Myriad Pro" w:hAnsi="Myriad Pro"/>
        </w:rPr>
        <w:t xml:space="preserve">, 535 U.S. 391, 402 (2002)). </w:t>
      </w:r>
    </w:p>
    <w:p w14:paraId="5A367441" w14:textId="50138BC9" w:rsidR="00827279" w:rsidRPr="000121C8" w:rsidRDefault="004928CD" w:rsidP="00D71FA8">
      <w:pPr>
        <w:widowControl w:val="0"/>
        <w:spacing w:after="240"/>
        <w:rPr>
          <w:rFonts w:ascii="Myriad Pro" w:hAnsi="Myriad Pro"/>
        </w:rPr>
      </w:pPr>
      <w:r w:rsidRPr="000121C8">
        <w:rPr>
          <w:rFonts w:ascii="Myriad Pro" w:hAnsi="Myriad Pro"/>
        </w:rPr>
        <w:t xml:space="preserve">While the same Section 504 rules apply to all covered entities subject to the law, the context may affect whether a particular modification is considered reasonable. In other words, the responding agency or deciding judge will consider the context of the immigration proceeding or interaction in deciding reasonableness. </w:t>
      </w:r>
    </w:p>
    <w:p w14:paraId="3D29B5CB" w14:textId="4D7068D3" w:rsidR="003E59A4" w:rsidRPr="000121C8" w:rsidRDefault="003E59A4" w:rsidP="00425BDA">
      <w:pPr>
        <w:pStyle w:val="Heading1"/>
      </w:pPr>
      <w:r w:rsidRPr="000121C8">
        <w:t>Agency Defenses</w:t>
      </w:r>
    </w:p>
    <w:p w14:paraId="3FD00D4E" w14:textId="6C724FB3" w:rsidR="003E59A4" w:rsidRPr="000121C8" w:rsidRDefault="003E59A4" w:rsidP="00D71FA8">
      <w:pPr>
        <w:widowControl w:val="0"/>
        <w:spacing w:after="240"/>
        <w:rPr>
          <w:rFonts w:ascii="Myriad Pro" w:hAnsi="Myriad Pro"/>
        </w:rPr>
      </w:pPr>
      <w:r w:rsidRPr="000121C8">
        <w:rPr>
          <w:rFonts w:ascii="Myriad Pro" w:hAnsi="Myriad Pro"/>
        </w:rPr>
        <w:t>Federal agencies have affirmative defenses</w:t>
      </w:r>
      <w:r w:rsidR="004928CD" w:rsidRPr="000121C8">
        <w:rPr>
          <w:rFonts w:ascii="Myriad Pro" w:hAnsi="Myriad Pro"/>
        </w:rPr>
        <w:t xml:space="preserve"> to disability claims and requests for reasonable accommodations</w:t>
      </w:r>
      <w:r w:rsidRPr="000121C8">
        <w:rPr>
          <w:rFonts w:ascii="Myriad Pro" w:hAnsi="Myriad Pro"/>
        </w:rPr>
        <w:t xml:space="preserve">, including undue hardship and fundamental alteration. </w:t>
      </w:r>
    </w:p>
    <w:p w14:paraId="32574B97" w14:textId="1EBA0B50" w:rsidR="00E12FB6" w:rsidRPr="00F30383" w:rsidRDefault="00651090" w:rsidP="00F30383">
      <w:pPr>
        <w:pStyle w:val="Heading2"/>
      </w:pPr>
      <w:r w:rsidRPr="00F30383">
        <w:t>Fundamental alteration</w:t>
      </w:r>
    </w:p>
    <w:p w14:paraId="35D3E909" w14:textId="77777777" w:rsidR="00DD4F6D" w:rsidRDefault="00651090" w:rsidP="00D71FA8">
      <w:pPr>
        <w:widowControl w:val="0"/>
        <w:spacing w:after="240"/>
        <w:rPr>
          <w:rFonts w:ascii="Myriad Pro" w:hAnsi="Myriad Pro"/>
        </w:rPr>
      </w:pPr>
      <w:r w:rsidRPr="000121C8">
        <w:rPr>
          <w:rFonts w:ascii="Myriad Pro" w:hAnsi="Myriad Pro"/>
        </w:rPr>
        <w:t xml:space="preserve">Section 504 does not require agencies to make fundamental alterations to their programs. 6 C.F.R. § 15.60(d); 28 C.F.R. § 39.160(d); 28 C.F.R. § 39.103; 6 C.F.R. § 15.3(e)(1); </w:t>
      </w:r>
      <w:r w:rsidRPr="000121C8">
        <w:rPr>
          <w:rFonts w:ascii="Myriad Pro" w:hAnsi="Myriad Pro"/>
          <w:bdr w:val="none" w:sz="0" w:space="0" w:color="auto" w:frame="1"/>
        </w:rPr>
        <w:t>United States Attorney General Opinion 26 Op. O.L.C. 16.</w:t>
      </w:r>
    </w:p>
    <w:p w14:paraId="496B763F" w14:textId="75F43CF8" w:rsidR="004928CD" w:rsidRPr="00DD4F6D" w:rsidRDefault="00651090" w:rsidP="00D71FA8">
      <w:pPr>
        <w:widowControl w:val="0"/>
        <w:spacing w:after="240"/>
        <w:rPr>
          <w:rFonts w:ascii="Myriad Pro" w:hAnsi="Myriad Pro"/>
        </w:rPr>
      </w:pPr>
      <w:r w:rsidRPr="000121C8">
        <w:rPr>
          <w:rFonts w:ascii="Myriad Pro" w:hAnsi="Myriad Pro"/>
        </w:rPr>
        <w:t xml:space="preserve">Whether a requested accommodation constitutes a fundamental alteration “requires a fact-specific, individualized analysis.” </w:t>
      </w:r>
      <w:r w:rsidRPr="000121C8">
        <w:rPr>
          <w:rFonts w:ascii="Myriad Pro" w:hAnsi="Myriad Pro"/>
          <w:i/>
          <w:iCs/>
        </w:rPr>
        <w:t>Franco-Gonzalez v. Holder</w:t>
      </w:r>
      <w:r w:rsidRPr="000121C8">
        <w:rPr>
          <w:rFonts w:ascii="Myriad Pro" w:hAnsi="Myriad Pro"/>
        </w:rPr>
        <w:t>, No. CV 10-02211 DMG (</w:t>
      </w:r>
      <w:proofErr w:type="spellStart"/>
      <w:r w:rsidRPr="000121C8">
        <w:rPr>
          <w:rFonts w:ascii="Myriad Pro" w:hAnsi="Myriad Pro"/>
        </w:rPr>
        <w:t>DTBx</w:t>
      </w:r>
      <w:proofErr w:type="spellEnd"/>
      <w:r w:rsidRPr="000121C8">
        <w:rPr>
          <w:rFonts w:ascii="Myriad Pro" w:hAnsi="Myriad Pro"/>
        </w:rPr>
        <w:t xml:space="preserve">), 2013 U.S. Dist. LEXIS 186258, at *21 (C.D. Cal. Apr. 23, 2013). A fundamental alteration would occur if a requested modification would expand the scope of a program or benefit rather than simply allowing people with disabilities equally effective access to an agency’s program, services or activities. </w:t>
      </w:r>
      <w:r w:rsidRPr="000121C8">
        <w:rPr>
          <w:rFonts w:ascii="Myriad Pro" w:hAnsi="Myriad Pro"/>
          <w:i/>
          <w:iCs/>
        </w:rPr>
        <w:t>Id.</w:t>
      </w:r>
      <w:r w:rsidRPr="000121C8">
        <w:rPr>
          <w:rFonts w:ascii="Myriad Pro" w:hAnsi="Myriad Pro"/>
        </w:rPr>
        <w:t xml:space="preserve"> at *21-22 (citing </w:t>
      </w:r>
      <w:r w:rsidRPr="000121C8">
        <w:rPr>
          <w:rFonts w:ascii="Myriad Pro" w:eastAsiaTheme="majorEastAsia" w:hAnsi="Myriad Pro"/>
          <w:i/>
          <w:iCs/>
        </w:rPr>
        <w:t>American Council of the Blind v. Paulson</w:t>
      </w:r>
      <w:r w:rsidRPr="000121C8">
        <w:rPr>
          <w:rFonts w:ascii="Myriad Pro" w:eastAsiaTheme="majorEastAsia" w:hAnsi="Myriad Pro"/>
        </w:rPr>
        <w:t>, 525 F.3d 1256, 1267, 381 (D.C. Cir. 2008)).</w:t>
      </w:r>
    </w:p>
    <w:p w14:paraId="584BA277" w14:textId="3EBEF86B" w:rsidR="00651090" w:rsidRPr="000121C8" w:rsidRDefault="004928CD" w:rsidP="00D71FA8">
      <w:pPr>
        <w:widowControl w:val="0"/>
        <w:spacing w:after="240"/>
        <w:rPr>
          <w:rFonts w:ascii="Myriad Pro" w:eastAsiaTheme="majorEastAsia" w:hAnsi="Myriad Pro"/>
        </w:rPr>
      </w:pPr>
      <w:r w:rsidRPr="000121C8">
        <w:rPr>
          <w:rFonts w:ascii="Myriad Pro" w:eastAsiaTheme="majorEastAsia" w:hAnsi="Myriad Pro"/>
        </w:rPr>
        <w:lastRenderedPageBreak/>
        <w:t>As with the question of reasonableness, agencies and courts will consider the context of the immigration proceeding or interaction in assessing fundamental alteration.</w:t>
      </w:r>
    </w:p>
    <w:p w14:paraId="25C8591A" w14:textId="6A87762F" w:rsidR="00E12FB6" w:rsidRPr="00DD4F6D" w:rsidRDefault="00651090" w:rsidP="00F30383">
      <w:pPr>
        <w:pStyle w:val="Heading2"/>
      </w:pPr>
      <w:r w:rsidRPr="00DD4F6D">
        <w:t>Undue hardship</w:t>
      </w:r>
    </w:p>
    <w:p w14:paraId="6C39D47C" w14:textId="001BBC32" w:rsidR="00205475" w:rsidRPr="000121C8" w:rsidRDefault="00651090" w:rsidP="00D71FA8">
      <w:pPr>
        <w:widowControl w:val="0"/>
        <w:spacing w:after="240"/>
        <w:rPr>
          <w:rFonts w:ascii="Myriad Pro" w:hAnsi="Myriad Pro"/>
        </w:rPr>
      </w:pPr>
      <w:r w:rsidRPr="000121C8">
        <w:rPr>
          <w:rFonts w:ascii="Myriad Pro" w:hAnsi="Myriad Pro"/>
        </w:rPr>
        <w:t>Agencies may also defend on the grounds that a requested modification would result in an undue financial or administrative burden or hardship. 28 C.F.R. § 39.160(d); 6 C.F.R. § 15.60(d)</w:t>
      </w:r>
      <w:r w:rsidR="00DE6E39" w:rsidRPr="000121C8">
        <w:rPr>
          <w:rFonts w:ascii="Myriad Pro" w:hAnsi="Myriad Pro"/>
        </w:rPr>
        <w:t xml:space="preserve">; </w:t>
      </w:r>
      <w:r w:rsidR="00DE6E39" w:rsidRPr="000121C8">
        <w:rPr>
          <w:rFonts w:ascii="Myriad Pro" w:hAnsi="Myriad Pro"/>
          <w:i/>
          <w:iCs/>
        </w:rPr>
        <w:t>Southeastern Community College v. Davis</w:t>
      </w:r>
      <w:r w:rsidR="00DE6E39" w:rsidRPr="000121C8">
        <w:rPr>
          <w:rFonts w:ascii="Myriad Pro" w:hAnsi="Myriad Pro"/>
        </w:rPr>
        <w:t>, 442 U.S. 397, 412 (1979)</w:t>
      </w:r>
      <w:r w:rsidR="005838B6" w:rsidRPr="000121C8">
        <w:rPr>
          <w:rFonts w:ascii="Myriad Pro" w:hAnsi="Myriad Pro"/>
        </w:rPr>
        <w:t xml:space="preserve">; </w:t>
      </w:r>
      <w:r w:rsidR="005838B6" w:rsidRPr="000121C8">
        <w:rPr>
          <w:rFonts w:ascii="Myriad Pro" w:hAnsi="Myriad Pro"/>
          <w:i/>
          <w:iCs/>
        </w:rPr>
        <w:t>American Council of the Blind v. Paulson</w:t>
      </w:r>
      <w:r w:rsidR="005838B6" w:rsidRPr="000121C8">
        <w:rPr>
          <w:rFonts w:ascii="Myriad Pro" w:hAnsi="Myriad Pro"/>
        </w:rPr>
        <w:t>, 525 F.3d 1256, 1266 (D.C. Cir. 2008)</w:t>
      </w:r>
      <w:r w:rsidR="00DE6E39" w:rsidRPr="000121C8">
        <w:rPr>
          <w:rFonts w:ascii="Myriad Pro" w:hAnsi="Myriad Pro"/>
        </w:rPr>
        <w:t>.</w:t>
      </w:r>
      <w:r w:rsidRPr="000121C8">
        <w:rPr>
          <w:rFonts w:ascii="Myriad Pro" w:hAnsi="Myriad Pro"/>
        </w:rPr>
        <w:t xml:space="preserve"> </w:t>
      </w:r>
      <w:r w:rsidR="000A02E4" w:rsidRPr="000121C8">
        <w:rPr>
          <w:rFonts w:ascii="Myriad Pro" w:hAnsi="Myriad Pro"/>
        </w:rPr>
        <w:t xml:space="preserve">Modifications that cause undue financial or administrative burdens are not reasonable. </w:t>
      </w:r>
      <w:r w:rsidR="000A02E4" w:rsidRPr="000121C8">
        <w:rPr>
          <w:rFonts w:ascii="Myriad Pro" w:hAnsi="Myriad Pro"/>
          <w:i/>
          <w:iCs/>
        </w:rPr>
        <w:t>American Council of the Blind v. Paulson</w:t>
      </w:r>
      <w:r w:rsidR="000A02E4" w:rsidRPr="000121C8">
        <w:rPr>
          <w:rFonts w:ascii="Myriad Pro" w:hAnsi="Myriad Pro"/>
        </w:rPr>
        <w:t xml:space="preserve">, 463 F. Supp. 2d 51, 59 (D.D.C. 2006) (quoting </w:t>
      </w:r>
      <w:r w:rsidR="000A02E4" w:rsidRPr="000121C8">
        <w:rPr>
          <w:rFonts w:ascii="Myriad Pro" w:hAnsi="Myriad Pro"/>
          <w:i/>
          <w:iCs/>
        </w:rPr>
        <w:t>Davis</w:t>
      </w:r>
      <w:r w:rsidR="000A02E4" w:rsidRPr="000121C8">
        <w:rPr>
          <w:rFonts w:ascii="Myriad Pro" w:hAnsi="Myriad Pro"/>
        </w:rPr>
        <w:t>, 442 U.S. at 412)</w:t>
      </w:r>
      <w:r w:rsidR="00BA4633" w:rsidRPr="000121C8">
        <w:rPr>
          <w:rFonts w:ascii="Myriad Pro" w:hAnsi="Myriad Pro"/>
        </w:rPr>
        <w:t xml:space="preserve">; </w:t>
      </w:r>
      <w:r w:rsidR="00BA4633" w:rsidRPr="000121C8">
        <w:rPr>
          <w:rFonts w:ascii="Myriad Pro" w:hAnsi="Myriad Pro"/>
          <w:i/>
          <w:iCs/>
        </w:rPr>
        <w:t>see also</w:t>
      </w:r>
      <w:r w:rsidR="00BA4633" w:rsidRPr="000121C8">
        <w:rPr>
          <w:rFonts w:ascii="Myriad Pro" w:hAnsi="Myriad Pro"/>
        </w:rPr>
        <w:t xml:space="preserve"> </w:t>
      </w:r>
      <w:r w:rsidR="00BA4633" w:rsidRPr="000121C8">
        <w:rPr>
          <w:rFonts w:ascii="Myriad Pro" w:hAnsi="Myriad Pro"/>
          <w:i/>
          <w:iCs/>
        </w:rPr>
        <w:t>Muir v. United States Department of Homeland Security</w:t>
      </w:r>
      <w:r w:rsidR="00BA4633" w:rsidRPr="000121C8">
        <w:rPr>
          <w:rFonts w:ascii="Myriad Pro" w:hAnsi="Myriad Pro"/>
        </w:rPr>
        <w:t>, 145 F.4th 1359, 1372-73 (D.C. Cir. 2025)</w:t>
      </w:r>
      <w:r w:rsidR="000A02E4" w:rsidRPr="000121C8">
        <w:rPr>
          <w:rFonts w:ascii="Myriad Pro" w:hAnsi="Myriad Pro"/>
        </w:rPr>
        <w:t xml:space="preserve"> </w:t>
      </w:r>
      <w:r w:rsidR="00BA4633" w:rsidRPr="000121C8">
        <w:rPr>
          <w:rFonts w:ascii="Myriad Pro" w:hAnsi="Myriad Pro"/>
        </w:rPr>
        <w:t>(remanding for determination of undue hardship).</w:t>
      </w:r>
    </w:p>
    <w:p w14:paraId="2A414BBF" w14:textId="4539C3E8" w:rsidR="003E59A4" w:rsidRPr="000121C8" w:rsidRDefault="00651090" w:rsidP="00D71FA8">
      <w:pPr>
        <w:widowControl w:val="0"/>
        <w:spacing w:after="240"/>
        <w:rPr>
          <w:rFonts w:ascii="Myriad Pro" w:hAnsi="Myriad Pro"/>
        </w:rPr>
      </w:pPr>
      <w:r w:rsidRPr="000121C8">
        <w:rPr>
          <w:rFonts w:ascii="Myriad Pro" w:hAnsi="Myriad Pro"/>
        </w:rPr>
        <w:t>Proving an undue hardship requires agencies to show that the costs of a requested modification are “excessive in relation either to the benefits of the modification or to the entity</w:t>
      </w:r>
      <w:r w:rsidR="00205475" w:rsidRPr="000121C8">
        <w:rPr>
          <w:rFonts w:ascii="Myriad Pro" w:hAnsi="Myriad Pro"/>
        </w:rPr>
        <w:t>’</w:t>
      </w:r>
      <w:r w:rsidRPr="000121C8">
        <w:rPr>
          <w:rFonts w:ascii="Myriad Pro" w:hAnsi="Myriad Pro"/>
        </w:rPr>
        <w:t xml:space="preserve">s financial survival or health.” </w:t>
      </w:r>
      <w:r w:rsidR="00AE5583" w:rsidRPr="000121C8">
        <w:rPr>
          <w:rFonts w:ascii="Myriad Pro" w:hAnsi="Myriad Pro"/>
          <w:i/>
          <w:iCs/>
        </w:rPr>
        <w:t xml:space="preserve">Meyer v. Walthall, </w:t>
      </w:r>
      <w:r w:rsidR="00AE5583" w:rsidRPr="000121C8">
        <w:rPr>
          <w:rFonts w:ascii="Myriad Pro" w:hAnsi="Myriad Pro"/>
        </w:rPr>
        <w:t xml:space="preserve">528 F. Supp. 3d 928, 963 (S.D. Ind. 2021) </w:t>
      </w:r>
      <w:r w:rsidRPr="000121C8">
        <w:rPr>
          <w:rFonts w:ascii="Myriad Pro" w:hAnsi="Myriad Pro"/>
        </w:rPr>
        <w:t xml:space="preserve">(quoting </w:t>
      </w:r>
      <w:r w:rsidRPr="000121C8">
        <w:rPr>
          <w:rFonts w:ascii="Myriad Pro" w:hAnsi="Myriad Pro"/>
          <w:i/>
          <w:iCs/>
        </w:rPr>
        <w:t>Vande Zande v. Wisconsin Department of Administration</w:t>
      </w:r>
      <w:r w:rsidRPr="000121C8">
        <w:rPr>
          <w:rFonts w:ascii="Myriad Pro" w:hAnsi="Myriad Pro"/>
        </w:rPr>
        <w:t>, 44 F.3d 538, 543 (7th Cir. 1995))</w:t>
      </w:r>
      <w:r w:rsidR="004F6A20" w:rsidRPr="000121C8">
        <w:rPr>
          <w:rFonts w:ascii="Myriad Pro" w:hAnsi="Myriad Pro"/>
        </w:rPr>
        <w:t xml:space="preserve">; </w:t>
      </w:r>
      <w:r w:rsidR="004F6A20" w:rsidRPr="000121C8">
        <w:rPr>
          <w:rFonts w:ascii="Myriad Pro" w:hAnsi="Myriad Pro"/>
          <w:i/>
          <w:iCs/>
        </w:rPr>
        <w:t>see</w:t>
      </w:r>
      <w:r w:rsidR="00AE5583" w:rsidRPr="000121C8">
        <w:rPr>
          <w:rFonts w:ascii="Myriad Pro" w:hAnsi="Myriad Pro"/>
          <w:i/>
          <w:iCs/>
        </w:rPr>
        <w:t xml:space="preserve"> also</w:t>
      </w:r>
      <w:r w:rsidR="004F6A20" w:rsidRPr="000121C8">
        <w:rPr>
          <w:rFonts w:ascii="Myriad Pro" w:hAnsi="Myriad Pro"/>
          <w:i/>
          <w:iCs/>
        </w:rPr>
        <w:t xml:space="preserve"> Paulson</w:t>
      </w:r>
      <w:r w:rsidR="004F6A20" w:rsidRPr="000121C8">
        <w:rPr>
          <w:rFonts w:ascii="Myriad Pro" w:hAnsi="Myriad Pro"/>
        </w:rPr>
        <w:t xml:space="preserve">, 525 F.3d at 1272 (the requested currency design modification </w:t>
      </w:r>
      <w:r w:rsidR="00AE5583" w:rsidRPr="000121C8">
        <w:rPr>
          <w:rFonts w:ascii="Myriad Pro" w:hAnsi="Myriad Pro"/>
        </w:rPr>
        <w:t>“</w:t>
      </w:r>
      <w:r w:rsidR="004F6A20" w:rsidRPr="000121C8">
        <w:rPr>
          <w:rFonts w:ascii="Myriad Pro" w:hAnsi="Myriad Pro"/>
        </w:rPr>
        <w:t xml:space="preserve">would constitute a </w:t>
      </w:r>
      <w:r w:rsidR="00AE5583" w:rsidRPr="000121C8">
        <w:rPr>
          <w:rFonts w:ascii="Myriad Pro" w:hAnsi="Myriad Pro"/>
        </w:rPr>
        <w:t>‘</w:t>
      </w:r>
      <w:r w:rsidR="004F6A20" w:rsidRPr="000121C8">
        <w:rPr>
          <w:rFonts w:ascii="Myriad Pro" w:hAnsi="Myriad Pro"/>
        </w:rPr>
        <w:t xml:space="preserve">small fraction of the </w:t>
      </w:r>
      <w:r w:rsidR="00AE5583" w:rsidRPr="000121C8">
        <w:rPr>
          <w:rFonts w:ascii="Myriad Pro" w:hAnsi="Myriad Pro"/>
        </w:rPr>
        <w:t>[Bureau of Engraving and Printing’s]</w:t>
      </w:r>
      <w:r w:rsidR="004F6A20" w:rsidRPr="000121C8">
        <w:rPr>
          <w:rFonts w:ascii="Myriad Pro" w:hAnsi="Myriad Pro"/>
        </w:rPr>
        <w:t xml:space="preserve"> annual expenditures</w:t>
      </w:r>
      <w:r w:rsidR="00AE5583" w:rsidRPr="000121C8">
        <w:rPr>
          <w:rFonts w:ascii="Myriad Pro" w:hAnsi="Myriad Pro"/>
        </w:rPr>
        <w:t>’”).</w:t>
      </w:r>
    </w:p>
    <w:p w14:paraId="7C85AD44" w14:textId="541D6C47" w:rsidR="0087238D" w:rsidRPr="000121C8" w:rsidRDefault="00651090" w:rsidP="00D71FA8">
      <w:pPr>
        <w:widowControl w:val="0"/>
        <w:spacing w:after="240"/>
        <w:rPr>
          <w:rFonts w:ascii="Myriad Pro" w:hAnsi="Myriad Pro"/>
        </w:rPr>
      </w:pPr>
      <w:r w:rsidRPr="000121C8">
        <w:rPr>
          <w:rFonts w:ascii="Myriad Pro" w:hAnsi="Myriad Pro"/>
        </w:rPr>
        <w:t xml:space="preserve">Agencies must do more than speculate that a requested modification is not feasible; Section 504 requires agencies “to gather sufficient information from the disabled individual and qualified experts as needed to determine what accommodations are necessary.” </w:t>
      </w:r>
      <w:r w:rsidRPr="000121C8">
        <w:rPr>
          <w:rFonts w:ascii="Myriad Pro" w:hAnsi="Myriad Pro"/>
          <w:i/>
          <w:iCs/>
        </w:rPr>
        <w:t>Mark H</w:t>
      </w:r>
      <w:r w:rsidRPr="000121C8">
        <w:rPr>
          <w:rFonts w:ascii="Myriad Pro" w:hAnsi="Myriad Pro"/>
        </w:rPr>
        <w:t xml:space="preserve">., 620 F.3d at 1098 (quoting </w:t>
      </w:r>
      <w:r w:rsidRPr="000121C8">
        <w:rPr>
          <w:rFonts w:ascii="Myriad Pro" w:hAnsi="Myriad Pro"/>
          <w:i/>
          <w:iCs/>
        </w:rPr>
        <w:t>Duvall v. County. of Kitsap</w:t>
      </w:r>
      <w:r w:rsidRPr="000121C8">
        <w:rPr>
          <w:rFonts w:ascii="Myriad Pro" w:hAnsi="Myriad Pro"/>
        </w:rPr>
        <w:t>, 260 F.3d 1124, 1136 (9th Cir. 2001)).</w:t>
      </w:r>
      <w:r w:rsidR="00BA4633" w:rsidRPr="000121C8">
        <w:rPr>
          <w:rFonts w:ascii="Myriad Pro" w:hAnsi="Myriad Pro"/>
        </w:rPr>
        <w:t xml:space="preserve"> </w:t>
      </w:r>
      <w:r w:rsidR="002D6256" w:rsidRPr="000121C8">
        <w:rPr>
          <w:rFonts w:ascii="Myriad Pro" w:hAnsi="Myriad Pro"/>
          <w:i/>
          <w:iCs/>
        </w:rPr>
        <w:t>See also</w:t>
      </w:r>
      <w:r w:rsidR="002D6256" w:rsidRPr="000121C8">
        <w:rPr>
          <w:rFonts w:ascii="Myriad Pro" w:hAnsi="Myriad Pro"/>
        </w:rPr>
        <w:t xml:space="preserve"> </w:t>
      </w:r>
      <w:r w:rsidR="002D6256" w:rsidRPr="000121C8">
        <w:rPr>
          <w:rFonts w:ascii="Myriad Pro" w:hAnsi="Myriad Pro"/>
          <w:i/>
          <w:iCs/>
        </w:rPr>
        <w:t>Lane v. Pena</w:t>
      </w:r>
      <w:r w:rsidR="002D6256" w:rsidRPr="000121C8">
        <w:rPr>
          <w:rFonts w:ascii="Myriad Pro" w:hAnsi="Myriad Pro"/>
        </w:rPr>
        <w:t>, 867 F. Supp. 1050, 1069-71 (D.D.C 1994) (memorandum opinion) (undue hardship</w:t>
      </w:r>
      <w:r w:rsidR="00DE6E39" w:rsidRPr="000121C8">
        <w:rPr>
          <w:rFonts w:ascii="Myriad Pro" w:hAnsi="Myriad Pro"/>
        </w:rPr>
        <w:t xml:space="preserve"> </w:t>
      </w:r>
      <w:r w:rsidR="002D6256" w:rsidRPr="000121C8">
        <w:rPr>
          <w:rFonts w:ascii="Myriad Pro" w:hAnsi="Myriad Pro"/>
        </w:rPr>
        <w:t xml:space="preserve">not established by </w:t>
      </w:r>
      <w:r w:rsidR="00DE6E39" w:rsidRPr="000121C8">
        <w:rPr>
          <w:rFonts w:ascii="Myriad Pro" w:hAnsi="Myriad Pro"/>
        </w:rPr>
        <w:t xml:space="preserve">referencing a </w:t>
      </w:r>
      <w:r w:rsidR="000A02E4" w:rsidRPr="000121C8">
        <w:rPr>
          <w:rFonts w:ascii="Myriad Pro" w:hAnsi="Myriad Pro"/>
        </w:rPr>
        <w:t>federal law</w:t>
      </w:r>
      <w:r w:rsidR="002D6256" w:rsidRPr="000121C8">
        <w:rPr>
          <w:rFonts w:ascii="Myriad Pro" w:hAnsi="Myriad Pro"/>
        </w:rPr>
        <w:t xml:space="preserve"> that did not require strict </w:t>
      </w:r>
      <w:r w:rsidR="00BA4633" w:rsidRPr="000121C8">
        <w:rPr>
          <w:rFonts w:ascii="Myriad Pro" w:hAnsi="Myriad Pro"/>
        </w:rPr>
        <w:t xml:space="preserve">adherence to </w:t>
      </w:r>
      <w:r w:rsidR="002D6256" w:rsidRPr="000121C8">
        <w:rPr>
          <w:rFonts w:ascii="Myriad Pro" w:hAnsi="Myriad Pro"/>
        </w:rPr>
        <w:t>policy at issue</w:t>
      </w:r>
      <w:r w:rsidR="003E59A4" w:rsidRPr="000121C8">
        <w:rPr>
          <w:rFonts w:ascii="Myriad Pro" w:hAnsi="Myriad Pro"/>
        </w:rPr>
        <w:t xml:space="preserve">, and prior </w:t>
      </w:r>
      <w:r w:rsidR="002D6256" w:rsidRPr="000121C8">
        <w:rPr>
          <w:rFonts w:ascii="Myriad Pro" w:hAnsi="Myriad Pro"/>
        </w:rPr>
        <w:t>history of accommodations to the policy</w:t>
      </w:r>
      <w:r w:rsidR="00DE6E39" w:rsidRPr="000121C8">
        <w:rPr>
          <w:rFonts w:ascii="Myriad Pro" w:hAnsi="Myriad Pro"/>
        </w:rPr>
        <w:t xml:space="preserve"> </w:t>
      </w:r>
      <w:r w:rsidR="00AE5583" w:rsidRPr="000121C8">
        <w:rPr>
          <w:rFonts w:ascii="Myriad Pro" w:hAnsi="Myriad Pro"/>
        </w:rPr>
        <w:t>was</w:t>
      </w:r>
      <w:r w:rsidR="00BA4633" w:rsidRPr="000121C8">
        <w:rPr>
          <w:rFonts w:ascii="Myriad Pro" w:hAnsi="Myriad Pro"/>
        </w:rPr>
        <w:t xml:space="preserve"> </w:t>
      </w:r>
      <w:r w:rsidR="00DE6E39" w:rsidRPr="000121C8">
        <w:rPr>
          <w:rFonts w:ascii="Myriad Pro" w:hAnsi="Myriad Pro"/>
        </w:rPr>
        <w:t xml:space="preserve">evidence </w:t>
      </w:r>
      <w:r w:rsidR="00AE5583" w:rsidRPr="000121C8">
        <w:rPr>
          <w:rFonts w:ascii="Myriad Pro" w:hAnsi="Myriad Pro"/>
        </w:rPr>
        <w:t xml:space="preserve">against </w:t>
      </w:r>
      <w:r w:rsidR="00DE6E39" w:rsidRPr="000121C8">
        <w:rPr>
          <w:rFonts w:ascii="Myriad Pro" w:hAnsi="Myriad Pro"/>
        </w:rPr>
        <w:t>undue hardship</w:t>
      </w:r>
      <w:r w:rsidR="002D6256" w:rsidRPr="000121C8">
        <w:rPr>
          <w:rFonts w:ascii="Myriad Pro" w:hAnsi="Myriad Pro"/>
        </w:rPr>
        <w:t>)</w:t>
      </w:r>
      <w:r w:rsidR="00DE6E39" w:rsidRPr="000121C8">
        <w:rPr>
          <w:rFonts w:ascii="Myriad Pro" w:hAnsi="Myriad Pro"/>
        </w:rPr>
        <w:t>.</w:t>
      </w:r>
    </w:p>
    <w:p w14:paraId="177B7B46" w14:textId="0A0F3E2D" w:rsidR="00DD0A84" w:rsidRPr="00DD4F6D" w:rsidRDefault="00DD0A84" w:rsidP="00F30383">
      <w:pPr>
        <w:pStyle w:val="Heading2"/>
      </w:pPr>
      <w:r w:rsidRPr="000121C8">
        <w:t>Case Example: “Reasonable” Modification Causing No “Undue Burden” or “Fundamental Alteration”</w:t>
      </w:r>
    </w:p>
    <w:p w14:paraId="46081037" w14:textId="3AEE8047" w:rsidR="00DD0A84" w:rsidRPr="000121C8" w:rsidRDefault="00DD0A84" w:rsidP="00D71FA8">
      <w:pPr>
        <w:widowControl w:val="0"/>
        <w:spacing w:after="240"/>
        <w:rPr>
          <w:rFonts w:ascii="Myriad Pro" w:hAnsi="Myriad Pro"/>
        </w:rPr>
      </w:pPr>
      <w:r w:rsidRPr="000121C8">
        <w:rPr>
          <w:rFonts w:ascii="Myriad Pro" w:hAnsi="Myriad Pro"/>
        </w:rPr>
        <w:t xml:space="preserve">In Complaint No. 004606-22-ICE, a detainee alleged that he was placed in full mechanical restraints for 19 hours, despite a preexisting bandaged injury to his ankle and foot for which he was using a walker. The restraints on his leg caused pain, distress, crying, and further physical injury. Complainant’s repeated requests that the restraints be adjusted were refused by ICE agents. His subsequent request to ICE-contracted medical personnel that the restraints not be used on his leg in the future was also rejected. In 2023, the DHS Office of Civil Rights and Civil Liberties </w:t>
      </w:r>
      <w:r w:rsidR="00400E5F" w:rsidRPr="000121C8">
        <w:rPr>
          <w:rFonts w:ascii="Myriad Pro" w:hAnsi="Myriad Pro"/>
        </w:rPr>
        <w:t xml:space="preserve">(CRCL) </w:t>
      </w:r>
      <w:r w:rsidRPr="000121C8">
        <w:rPr>
          <w:rFonts w:ascii="Myriad Pro" w:hAnsi="Myriad Pro"/>
        </w:rPr>
        <w:t>found that ICE discriminated against the complainant by refusing to adjust the leg restraints:</w:t>
      </w:r>
    </w:p>
    <w:p w14:paraId="53AD3923" w14:textId="6ABBE641" w:rsidR="00400E5F" w:rsidRPr="000121C8" w:rsidRDefault="00DD0A84" w:rsidP="00DD4F6D">
      <w:pPr>
        <w:widowControl w:val="0"/>
        <w:spacing w:after="240"/>
        <w:ind w:left="720"/>
        <w:rPr>
          <w:rFonts w:ascii="Myriad Pro" w:hAnsi="Myriad Pro"/>
        </w:rPr>
      </w:pPr>
      <w:r w:rsidRPr="000121C8">
        <w:rPr>
          <w:rFonts w:ascii="Myriad Pro" w:hAnsi="Myriad Pro"/>
        </w:rPr>
        <w:t xml:space="preserve">Complainant’s requests were reasonable in that adjusting or removing the leg restraints was necessary </w:t>
      </w:r>
      <w:proofErr w:type="gramStart"/>
      <w:r w:rsidRPr="000121C8">
        <w:rPr>
          <w:rFonts w:ascii="Myriad Pro" w:hAnsi="Myriad Pro"/>
        </w:rPr>
        <w:t>in light of</w:t>
      </w:r>
      <w:proofErr w:type="gramEnd"/>
      <w:r w:rsidRPr="000121C8">
        <w:rPr>
          <w:rFonts w:ascii="Myriad Pro" w:hAnsi="Myriad Pro"/>
        </w:rPr>
        <w:t xml:space="preserve"> the mobility impairment, particularly because the restraints were applied directly to the injury site, for an excessive </w:t>
      </w:r>
      <w:proofErr w:type="gramStart"/>
      <w:r w:rsidRPr="000121C8">
        <w:rPr>
          <w:rFonts w:ascii="Myriad Pro" w:hAnsi="Myriad Pro"/>
        </w:rPr>
        <w:t>period of time</w:t>
      </w:r>
      <w:proofErr w:type="gramEnd"/>
      <w:r w:rsidRPr="000121C8">
        <w:rPr>
          <w:rFonts w:ascii="Myriad Pro" w:hAnsi="Myriad Pro"/>
        </w:rPr>
        <w:t>, and resulted in</w:t>
      </w:r>
      <w:r w:rsidR="00DE2AE7">
        <w:rPr>
          <w:rFonts w:ascii="Myriad Pro" w:hAnsi="Myriad Pro"/>
        </w:rPr>
        <w:t xml:space="preserve"> </w:t>
      </w:r>
      <w:r w:rsidRPr="000121C8">
        <w:rPr>
          <w:rFonts w:ascii="Myriad Pro" w:hAnsi="Myriad Pro"/>
        </w:rPr>
        <w:t xml:space="preserve">additional damage to Complainant’s ankle and foot. Furthermore, </w:t>
      </w:r>
      <w:r w:rsidRPr="000121C8">
        <w:rPr>
          <w:rFonts w:ascii="Myriad Pro" w:hAnsi="Myriad Pro"/>
        </w:rPr>
        <w:lastRenderedPageBreak/>
        <w:t>adjusting or removing the leg restraints would not have posed an undue financial or administrative burden, or fundamental alteration of policy, as ICE’s own policy allows for exceptions for individuals with physical disabilities or injury, and there is no indication in the record that Complainant posed a safety or security threat to himself or to those around him.</w:t>
      </w:r>
    </w:p>
    <w:p w14:paraId="4E420C80" w14:textId="6DBC3D2E" w:rsidR="00DD0A84" w:rsidRPr="000121C8" w:rsidRDefault="00400E5F" w:rsidP="00DD4F6D">
      <w:pPr>
        <w:widowControl w:val="0"/>
        <w:spacing w:after="240"/>
        <w:rPr>
          <w:rFonts w:ascii="Myriad Pro" w:hAnsi="Myriad Pro"/>
        </w:rPr>
      </w:pPr>
      <w:r w:rsidRPr="000121C8">
        <w:rPr>
          <w:rFonts w:ascii="Myriad Pro" w:hAnsi="Myriad Pro"/>
        </w:rPr>
        <w:t xml:space="preserve">June 14, 2023, CRCL Letter (ordering update to restraint policy) (on file with DREDF). </w:t>
      </w:r>
    </w:p>
    <w:p w14:paraId="7F91DA79" w14:textId="5216C9EF" w:rsidR="00B46413" w:rsidRPr="000121C8" w:rsidRDefault="00B46413" w:rsidP="00425BDA">
      <w:pPr>
        <w:pStyle w:val="Heading1"/>
      </w:pPr>
      <w:r w:rsidRPr="000121C8">
        <w:t>Enforcement of Section 504 Rights</w:t>
      </w:r>
    </w:p>
    <w:p w14:paraId="0F60979D" w14:textId="4F4DB9DA" w:rsidR="00B46413" w:rsidRPr="000121C8" w:rsidRDefault="00B46413" w:rsidP="00D71FA8">
      <w:pPr>
        <w:widowControl w:val="0"/>
        <w:spacing w:after="240"/>
        <w:rPr>
          <w:rFonts w:ascii="Myriad Pro" w:hAnsi="Myriad Pro"/>
        </w:rPr>
      </w:pPr>
      <w:r w:rsidRPr="000121C8">
        <w:rPr>
          <w:rFonts w:ascii="Myriad Pro" w:hAnsi="Myriad Pro"/>
        </w:rPr>
        <w:t>The first step in enforcing Section 504 with immigration agencies is to communicate in writing with the responsible official(s) about the needs of the disabled person. These officials may include EOIR and BIA judges, directors of detention facilities (together with any disability access coordinators), and other officials designated for receiving requests for disability accommodations.</w:t>
      </w:r>
      <w:r w:rsidRPr="000121C8">
        <w:rPr>
          <w:rStyle w:val="FootnoteReference"/>
          <w:rFonts w:ascii="Myriad Pro" w:hAnsi="Myriad Pro"/>
        </w:rPr>
        <w:footnoteReference w:id="9"/>
      </w:r>
      <w:r w:rsidRPr="000121C8">
        <w:rPr>
          <w:rFonts w:ascii="Myriad Pro" w:hAnsi="Myriad Pro"/>
        </w:rPr>
        <w:t xml:space="preserve"> It is important that these communications are specific and documented. If the disabled person is being detained in a private facility, it may be appropriate to copy an official at the ICE Field Office for the state where the facility is located.</w:t>
      </w:r>
      <w:r w:rsidRPr="000121C8">
        <w:rPr>
          <w:rStyle w:val="FootnoteReference"/>
          <w:rFonts w:ascii="Myriad Pro" w:hAnsi="Myriad Pro"/>
        </w:rPr>
        <w:footnoteReference w:id="10"/>
      </w:r>
      <w:r w:rsidRPr="000121C8">
        <w:rPr>
          <w:rFonts w:ascii="Myriad Pro" w:hAnsi="Myriad Pro"/>
        </w:rPr>
        <w:t xml:space="preserve"> Counsel for the disabled person should argue for the application of Section 504 in any immigration- or detention-related proceeding. DREDF may be available to provide technical support. </w:t>
      </w:r>
    </w:p>
    <w:p w14:paraId="648D24DF" w14:textId="6023689D" w:rsidR="00B46413" w:rsidRPr="000121C8" w:rsidRDefault="00B46413" w:rsidP="00D71FA8">
      <w:pPr>
        <w:widowControl w:val="0"/>
        <w:spacing w:after="240"/>
        <w:rPr>
          <w:rFonts w:ascii="Myriad Pro" w:hAnsi="Myriad Pro"/>
        </w:rPr>
      </w:pPr>
      <w:r w:rsidRPr="000121C8">
        <w:rPr>
          <w:rFonts w:ascii="Myriad Pro" w:hAnsi="Myriad Pro"/>
        </w:rPr>
        <w:t>Disabled people interacting with immigration agencies may also wish to initiative litigation. Courts have held that disabled people may bring affirmative cases under Section 504 against federal agencies in federal court.</w:t>
      </w:r>
      <w:r w:rsidRPr="000121C8">
        <w:rPr>
          <w:rStyle w:val="FootnoteReference"/>
          <w:rFonts w:ascii="Myriad Pro" w:hAnsi="Myriad Pro"/>
        </w:rPr>
        <w:footnoteReference w:id="11"/>
      </w:r>
      <w:r w:rsidRPr="000121C8">
        <w:rPr>
          <w:rFonts w:ascii="Myriad Pro" w:hAnsi="Myriad Pro"/>
        </w:rPr>
        <w:t xml:space="preserve"> Some courts hold that such claims must be brought through an Administrative Procedures Act (APA) action.</w:t>
      </w:r>
      <w:r w:rsidRPr="000121C8">
        <w:rPr>
          <w:rStyle w:val="FootnoteReference"/>
          <w:rFonts w:ascii="Myriad Pro" w:hAnsi="Myriad Pro"/>
        </w:rPr>
        <w:footnoteReference w:id="12"/>
      </w:r>
      <w:r w:rsidRPr="000121C8">
        <w:rPr>
          <w:rFonts w:ascii="Myriad Pro" w:hAnsi="Myriad Pro"/>
        </w:rPr>
        <w:t xml:space="preserve"> </w:t>
      </w:r>
    </w:p>
    <w:p w14:paraId="7C92F25D" w14:textId="35E04F32" w:rsidR="002B4C89" w:rsidRPr="000121C8" w:rsidRDefault="0087238D" w:rsidP="00425BDA">
      <w:pPr>
        <w:pStyle w:val="Heading1"/>
      </w:pPr>
      <w:r w:rsidRPr="000121C8">
        <w:lastRenderedPageBreak/>
        <w:t xml:space="preserve">Private Contractors Within </w:t>
      </w:r>
      <w:r w:rsidR="00596685" w:rsidRPr="000121C8">
        <w:t xml:space="preserve">the </w:t>
      </w:r>
      <w:r w:rsidRPr="000121C8">
        <w:t>Immigration System</w:t>
      </w:r>
    </w:p>
    <w:p w14:paraId="649CB6FF" w14:textId="3B97D550" w:rsidR="00BC3621" w:rsidRPr="000121C8" w:rsidRDefault="00400E5F" w:rsidP="00D71FA8">
      <w:pPr>
        <w:widowControl w:val="0"/>
        <w:spacing w:after="240"/>
        <w:rPr>
          <w:rFonts w:ascii="Myriad Pro" w:hAnsi="Myriad Pro"/>
        </w:rPr>
      </w:pPr>
      <w:r w:rsidRPr="000121C8">
        <w:rPr>
          <w:rFonts w:ascii="Myriad Pro" w:hAnsi="Myriad Pro"/>
        </w:rPr>
        <w:t xml:space="preserve">Most ICE detention occurs in private detention facilities. </w:t>
      </w:r>
      <w:r w:rsidR="00BC3621" w:rsidRPr="000121C8">
        <w:rPr>
          <w:rFonts w:ascii="Myriad Pro" w:hAnsi="Myriad Pro"/>
        </w:rPr>
        <w:t>Private contractors</w:t>
      </w:r>
      <w:r w:rsidR="00DD4F6D">
        <w:rPr>
          <w:rFonts w:ascii="Myriad Pro" w:hAnsi="Myriad Pro"/>
        </w:rPr>
        <w:t>,</w:t>
      </w:r>
      <w:r w:rsidR="00BC3621" w:rsidRPr="000121C8">
        <w:rPr>
          <w:rFonts w:ascii="Myriad Pro" w:hAnsi="Myriad Pro"/>
        </w:rPr>
        <w:t xml:space="preserve"> </w:t>
      </w:r>
      <w:r w:rsidRPr="000121C8">
        <w:rPr>
          <w:rFonts w:ascii="Myriad Pro" w:hAnsi="Myriad Pro"/>
        </w:rPr>
        <w:t xml:space="preserve">including </w:t>
      </w:r>
      <w:r w:rsidR="00BC3621" w:rsidRPr="000121C8">
        <w:rPr>
          <w:rFonts w:ascii="Myriad Pro" w:hAnsi="Myriad Pro"/>
        </w:rPr>
        <w:t>private detention facilities</w:t>
      </w:r>
      <w:r w:rsidR="00DD4F6D">
        <w:rPr>
          <w:rFonts w:ascii="Myriad Pro" w:hAnsi="Myriad Pro"/>
        </w:rPr>
        <w:t>,</w:t>
      </w:r>
      <w:r w:rsidR="00BC3621" w:rsidRPr="000121C8">
        <w:rPr>
          <w:rFonts w:ascii="Myriad Pro" w:hAnsi="Myriad Pro"/>
        </w:rPr>
        <w:t xml:space="preserve"> are typically not </w:t>
      </w:r>
      <w:r w:rsidRPr="000121C8">
        <w:rPr>
          <w:rFonts w:ascii="Myriad Pro" w:hAnsi="Myriad Pro"/>
        </w:rPr>
        <w:t xml:space="preserve">directly </w:t>
      </w:r>
      <w:r w:rsidR="00BC3621" w:rsidRPr="000121C8">
        <w:rPr>
          <w:rFonts w:ascii="Myriad Pro" w:hAnsi="Myriad Pro"/>
        </w:rPr>
        <w:t xml:space="preserve">subject to Section 504. Although these contractors receive federal dollars, </w:t>
      </w:r>
      <w:r w:rsidR="0029392B" w:rsidRPr="000121C8">
        <w:rPr>
          <w:rFonts w:ascii="Myriad Pro" w:hAnsi="Myriad Pro"/>
        </w:rPr>
        <w:t xml:space="preserve">a federal procurement </w:t>
      </w:r>
      <w:r w:rsidR="00BC3621" w:rsidRPr="000121C8">
        <w:rPr>
          <w:rFonts w:ascii="Myriad Pro" w:hAnsi="Myriad Pro"/>
        </w:rPr>
        <w:t>contract does not qualify as federal financial assistance for purposes of Section 504. An exception is when the arrangement amounts to a federal subsidy.</w:t>
      </w:r>
      <w:r w:rsidR="00BC3621" w:rsidRPr="000121C8">
        <w:rPr>
          <w:rStyle w:val="FootnoteReference"/>
          <w:rFonts w:ascii="Myriad Pro" w:hAnsi="Myriad Pro"/>
        </w:rPr>
        <w:footnoteReference w:id="13"/>
      </w:r>
      <w:r w:rsidR="00BC3621" w:rsidRPr="000121C8">
        <w:rPr>
          <w:rFonts w:ascii="Myriad Pro" w:hAnsi="Myriad Pro"/>
        </w:rPr>
        <w:t xml:space="preserve"> </w:t>
      </w:r>
    </w:p>
    <w:p w14:paraId="1761BE5B" w14:textId="6CE13395" w:rsidR="00BC5C5B" w:rsidRPr="000121C8" w:rsidRDefault="00E5077F" w:rsidP="00D71FA8">
      <w:pPr>
        <w:widowControl w:val="0"/>
        <w:spacing w:after="240"/>
        <w:rPr>
          <w:rFonts w:ascii="Myriad Pro" w:hAnsi="Myriad Pro"/>
        </w:rPr>
      </w:pPr>
      <w:r w:rsidRPr="000121C8">
        <w:rPr>
          <w:rFonts w:ascii="Myriad Pro" w:hAnsi="Myriad Pro"/>
        </w:rPr>
        <w:t xml:space="preserve">However, the </w:t>
      </w:r>
      <w:r w:rsidR="00BC5C5B" w:rsidRPr="000121C8">
        <w:rPr>
          <w:rFonts w:ascii="Myriad Pro" w:hAnsi="Myriad Pro"/>
        </w:rPr>
        <w:t xml:space="preserve">federal agency </w:t>
      </w:r>
      <w:r w:rsidR="005D5D41" w:rsidRPr="000121C8">
        <w:rPr>
          <w:rFonts w:ascii="Myriad Pro" w:hAnsi="Myriad Pro"/>
        </w:rPr>
        <w:t xml:space="preserve">is still required to </w:t>
      </w:r>
      <w:r w:rsidR="00BC5C5B" w:rsidRPr="000121C8">
        <w:rPr>
          <w:rFonts w:ascii="Myriad Pro" w:hAnsi="Myriad Pro"/>
        </w:rPr>
        <w:t xml:space="preserve">ensure that their private contractor </w:t>
      </w:r>
      <w:r w:rsidR="00B46413" w:rsidRPr="000121C8">
        <w:rPr>
          <w:rFonts w:ascii="Myriad Pro" w:hAnsi="Myriad Pro"/>
        </w:rPr>
        <w:t xml:space="preserve">follow the principles of Section 504, including by providing </w:t>
      </w:r>
      <w:r w:rsidR="005D5D41" w:rsidRPr="000121C8">
        <w:rPr>
          <w:rFonts w:ascii="Myriad Pro" w:hAnsi="Myriad Pro"/>
        </w:rPr>
        <w:t xml:space="preserve">benefits and </w:t>
      </w:r>
      <w:r w:rsidR="00BC5C5B" w:rsidRPr="000121C8">
        <w:rPr>
          <w:rFonts w:ascii="Myriad Pro" w:hAnsi="Myriad Pro"/>
        </w:rPr>
        <w:t xml:space="preserve">services to disabled </w:t>
      </w:r>
      <w:r w:rsidR="005D5D41" w:rsidRPr="000121C8">
        <w:rPr>
          <w:rFonts w:ascii="Myriad Pro" w:hAnsi="Myriad Pro"/>
        </w:rPr>
        <w:t xml:space="preserve">detainees </w:t>
      </w:r>
      <w:r w:rsidR="00BC5C5B" w:rsidRPr="000121C8">
        <w:rPr>
          <w:rFonts w:ascii="Myriad Pro" w:hAnsi="Myriad Pro"/>
        </w:rPr>
        <w:t>that are equal</w:t>
      </w:r>
      <w:r w:rsidR="00400E5F" w:rsidRPr="000121C8">
        <w:rPr>
          <w:rFonts w:ascii="Myriad Pro" w:hAnsi="Myriad Pro"/>
        </w:rPr>
        <w:t xml:space="preserve"> (including equally safe)</w:t>
      </w:r>
      <w:r w:rsidR="00BC5C5B" w:rsidRPr="000121C8">
        <w:rPr>
          <w:rFonts w:ascii="Myriad Pro" w:hAnsi="Myriad Pro"/>
        </w:rPr>
        <w:t xml:space="preserve"> and as effective as those provided to nondisabled detainees.</w:t>
      </w:r>
      <w:r w:rsidR="00B46413" w:rsidRPr="000121C8">
        <w:rPr>
          <w:rStyle w:val="FootnoteReference"/>
          <w:rFonts w:ascii="Myriad Pro" w:hAnsi="Myriad Pro"/>
        </w:rPr>
        <w:footnoteReference w:id="14"/>
      </w:r>
      <w:r w:rsidR="00BC5C5B" w:rsidRPr="000121C8">
        <w:rPr>
          <w:rFonts w:ascii="Myriad Pro" w:hAnsi="Myriad Pro"/>
        </w:rPr>
        <w:t xml:space="preserve"> </w:t>
      </w:r>
      <w:r w:rsidR="00400E5F" w:rsidRPr="000121C8">
        <w:rPr>
          <w:rFonts w:ascii="Myriad Pro" w:hAnsi="Myriad Pro"/>
        </w:rPr>
        <w:t xml:space="preserve">Claims can be brought against ICE for its failure to ensure compliance with Section 504. </w:t>
      </w:r>
      <w:r w:rsidR="00CA61B0" w:rsidRPr="000121C8">
        <w:rPr>
          <w:rFonts w:ascii="Myriad Pro" w:hAnsi="Myriad Pro"/>
        </w:rPr>
        <w:t>ICE</w:t>
      </w:r>
      <w:r w:rsidR="00B46413" w:rsidRPr="000121C8">
        <w:rPr>
          <w:rFonts w:ascii="Myriad Pro" w:hAnsi="Myriad Pro"/>
        </w:rPr>
        <w:t xml:space="preserve"> publishes </w:t>
      </w:r>
      <w:r w:rsidR="00CA61B0" w:rsidRPr="000121C8">
        <w:rPr>
          <w:rFonts w:ascii="Myriad Pro" w:hAnsi="Myriad Pro"/>
        </w:rPr>
        <w:t>requirements for all detention facilities holding detainees with disabilities.</w:t>
      </w:r>
      <w:r w:rsidR="00CA61B0" w:rsidRPr="000121C8">
        <w:rPr>
          <w:rStyle w:val="FootnoteReference"/>
          <w:rFonts w:ascii="Myriad Pro" w:hAnsi="Myriad Pro"/>
        </w:rPr>
        <w:footnoteReference w:id="15"/>
      </w:r>
    </w:p>
    <w:p w14:paraId="33F67BF5" w14:textId="021B7AD7" w:rsidR="002C3A18" w:rsidRPr="000121C8" w:rsidRDefault="00BC3621" w:rsidP="00D71FA8">
      <w:pPr>
        <w:widowControl w:val="0"/>
        <w:spacing w:after="240"/>
        <w:rPr>
          <w:rFonts w:ascii="Myriad Pro" w:hAnsi="Myriad Pro"/>
        </w:rPr>
      </w:pPr>
      <w:r w:rsidRPr="000121C8">
        <w:rPr>
          <w:rFonts w:ascii="Myriad Pro" w:hAnsi="Myriad Pro"/>
        </w:rPr>
        <w:t xml:space="preserve">Private contractors </w:t>
      </w:r>
      <w:r w:rsidR="005D5D41" w:rsidRPr="000121C8">
        <w:rPr>
          <w:rFonts w:ascii="Myriad Pro" w:hAnsi="Myriad Pro"/>
        </w:rPr>
        <w:t xml:space="preserve">are subject to </w:t>
      </w:r>
      <w:r w:rsidRPr="000121C8">
        <w:rPr>
          <w:rFonts w:ascii="Myriad Pro" w:hAnsi="Myriad Pro"/>
        </w:rPr>
        <w:t>other laws</w:t>
      </w:r>
      <w:r w:rsidR="00F7351A" w:rsidRPr="000121C8">
        <w:rPr>
          <w:rFonts w:ascii="Myriad Pro" w:hAnsi="Myriad Pro"/>
        </w:rPr>
        <w:t xml:space="preserve">. Courts have ruled that </w:t>
      </w:r>
      <w:r w:rsidR="0029392B" w:rsidRPr="000121C8">
        <w:rPr>
          <w:rFonts w:ascii="Myriad Pro" w:hAnsi="Myriad Pro"/>
        </w:rPr>
        <w:t xml:space="preserve">detainees </w:t>
      </w:r>
      <w:r w:rsidR="00F7351A" w:rsidRPr="000121C8">
        <w:rPr>
          <w:rFonts w:ascii="Myriad Pro" w:hAnsi="Myriad Pro"/>
        </w:rPr>
        <w:t>with disabilities may sue contractors that provide medical</w:t>
      </w:r>
      <w:r w:rsidR="00B53A96" w:rsidRPr="000121C8">
        <w:rPr>
          <w:rFonts w:ascii="Myriad Pro" w:hAnsi="Myriad Pro"/>
        </w:rPr>
        <w:t>,</w:t>
      </w:r>
      <w:r w:rsidR="00F7351A" w:rsidRPr="000121C8">
        <w:rPr>
          <w:rFonts w:ascii="Myriad Pro" w:hAnsi="Myriad Pro"/>
        </w:rPr>
        <w:t xml:space="preserve"> mental health </w:t>
      </w:r>
      <w:r w:rsidR="00B53A96" w:rsidRPr="000121C8">
        <w:rPr>
          <w:rFonts w:ascii="Myriad Pro" w:hAnsi="Myriad Pro"/>
        </w:rPr>
        <w:t xml:space="preserve">and transportation </w:t>
      </w:r>
      <w:r w:rsidR="00F7351A" w:rsidRPr="000121C8">
        <w:rPr>
          <w:rFonts w:ascii="Myriad Pro" w:hAnsi="Myriad Pro"/>
        </w:rPr>
        <w:t xml:space="preserve">services under </w:t>
      </w:r>
      <w:r w:rsidR="0065615C" w:rsidRPr="000121C8">
        <w:rPr>
          <w:rFonts w:ascii="Myriad Pro" w:hAnsi="Myriad Pro"/>
        </w:rPr>
        <w:t xml:space="preserve">disability </w:t>
      </w:r>
      <w:r w:rsidR="002C3A18" w:rsidRPr="000121C8">
        <w:rPr>
          <w:rFonts w:ascii="Myriad Pro" w:hAnsi="Myriad Pro"/>
        </w:rPr>
        <w:t>non-discrimination</w:t>
      </w:r>
      <w:r w:rsidR="00F7351A" w:rsidRPr="000121C8">
        <w:rPr>
          <w:rFonts w:ascii="Myriad Pro" w:hAnsi="Myriad Pro"/>
        </w:rPr>
        <w:t xml:space="preserve"> laws such as Title III of the ADA and California’s Unruh Civil Rights Act.</w:t>
      </w:r>
      <w:r w:rsidR="00F7351A" w:rsidRPr="000121C8">
        <w:rPr>
          <w:rStyle w:val="FootnoteReference"/>
          <w:rFonts w:ascii="Myriad Pro" w:hAnsi="Myriad Pro"/>
        </w:rPr>
        <w:footnoteReference w:id="16"/>
      </w:r>
      <w:r w:rsidR="00F7351A" w:rsidRPr="000121C8">
        <w:rPr>
          <w:rFonts w:ascii="Myriad Pro" w:hAnsi="Myriad Pro"/>
        </w:rPr>
        <w:t xml:space="preserve"> </w:t>
      </w:r>
      <w:r w:rsidR="0065615C" w:rsidRPr="000121C8">
        <w:rPr>
          <w:rFonts w:ascii="Myriad Pro" w:hAnsi="Myriad Pro"/>
        </w:rPr>
        <w:t xml:space="preserve">There may be additional claims </w:t>
      </w:r>
      <w:r w:rsidR="005D5D41" w:rsidRPr="000121C8">
        <w:rPr>
          <w:rFonts w:ascii="Myriad Pro" w:hAnsi="Myriad Pro"/>
        </w:rPr>
        <w:t xml:space="preserve">against private contractors </w:t>
      </w:r>
      <w:r w:rsidR="0047363D" w:rsidRPr="000121C8">
        <w:rPr>
          <w:rFonts w:ascii="Myriad Pro" w:hAnsi="Myriad Pro"/>
        </w:rPr>
        <w:t xml:space="preserve">for intentional and negligent conduct </w:t>
      </w:r>
      <w:r w:rsidR="0029392B" w:rsidRPr="000121C8">
        <w:rPr>
          <w:rFonts w:ascii="Myriad Pro" w:hAnsi="Myriad Pro"/>
        </w:rPr>
        <w:t>under state and federal law</w:t>
      </w:r>
      <w:r w:rsidR="0065615C" w:rsidRPr="000121C8">
        <w:rPr>
          <w:rFonts w:ascii="Myriad Pro" w:hAnsi="Myriad Pro"/>
        </w:rPr>
        <w:t>.</w:t>
      </w:r>
    </w:p>
    <w:p w14:paraId="5B980EF1" w14:textId="03456F05" w:rsidR="00453316" w:rsidRPr="00D71FA8" w:rsidRDefault="00E5016D" w:rsidP="00425BDA">
      <w:pPr>
        <w:pStyle w:val="Heading1"/>
      </w:pPr>
      <w:r w:rsidRPr="000121C8">
        <w:t>Key Take</w:t>
      </w:r>
      <w:r w:rsidR="00DD72A9">
        <w:t>a</w:t>
      </w:r>
      <w:r w:rsidRPr="000121C8">
        <w:t>ways and What’s Next</w:t>
      </w:r>
    </w:p>
    <w:p w14:paraId="3467C27E" w14:textId="77777777" w:rsidR="00DD4F6D" w:rsidRDefault="00F57A07" w:rsidP="00D71FA8">
      <w:pPr>
        <w:widowControl w:val="0"/>
        <w:spacing w:after="240"/>
        <w:rPr>
          <w:rFonts w:ascii="Myriad Pro" w:hAnsi="Myriad Pro"/>
        </w:rPr>
      </w:pPr>
      <w:r w:rsidRPr="000121C8">
        <w:rPr>
          <w:rFonts w:ascii="Myriad Pro" w:hAnsi="Myriad Pro"/>
        </w:rPr>
        <w:t xml:space="preserve">Many immigrants interacting with the </w:t>
      </w:r>
      <w:r w:rsidR="00787BE8" w:rsidRPr="000121C8">
        <w:rPr>
          <w:rFonts w:ascii="Myriad Pro" w:hAnsi="Myriad Pro"/>
        </w:rPr>
        <w:t>U.S. immigration system have disabilities</w:t>
      </w:r>
      <w:r w:rsidR="00C748AE" w:rsidRPr="000121C8">
        <w:rPr>
          <w:rFonts w:ascii="Myriad Pro" w:hAnsi="Myriad Pro"/>
        </w:rPr>
        <w:t xml:space="preserve"> and are protected from disability discrimination </w:t>
      </w:r>
      <w:r w:rsidR="00E5016D" w:rsidRPr="000121C8">
        <w:rPr>
          <w:rFonts w:ascii="Myriad Pro" w:hAnsi="Myriad Pro"/>
        </w:rPr>
        <w:t xml:space="preserve">and entitled to reasonable accommodations </w:t>
      </w:r>
      <w:r w:rsidR="00C748AE" w:rsidRPr="000121C8">
        <w:rPr>
          <w:rFonts w:ascii="Myriad Pro" w:hAnsi="Myriad Pro"/>
        </w:rPr>
        <w:t>under Section 504.</w:t>
      </w:r>
    </w:p>
    <w:p w14:paraId="2EA52A0B" w14:textId="2D731E8D" w:rsidR="00F57A07" w:rsidRPr="000121C8" w:rsidRDefault="00BF52D3" w:rsidP="00D71FA8">
      <w:pPr>
        <w:widowControl w:val="0"/>
        <w:spacing w:after="240"/>
        <w:rPr>
          <w:rFonts w:ascii="Myriad Pro" w:hAnsi="Myriad Pro"/>
        </w:rPr>
      </w:pPr>
      <w:r w:rsidRPr="000121C8">
        <w:rPr>
          <w:rFonts w:ascii="Myriad Pro" w:hAnsi="Myriad Pro"/>
        </w:rPr>
        <w:t xml:space="preserve">Section 504 applies </w:t>
      </w:r>
      <w:r w:rsidR="00F57A07" w:rsidRPr="000121C8">
        <w:rPr>
          <w:rFonts w:ascii="Myriad Pro" w:hAnsi="Myriad Pro"/>
        </w:rPr>
        <w:t xml:space="preserve">to </w:t>
      </w:r>
      <w:r w:rsidR="00E5016D" w:rsidRPr="000121C8">
        <w:rPr>
          <w:rFonts w:ascii="Myriad Pro" w:hAnsi="Myriad Pro"/>
        </w:rPr>
        <w:t xml:space="preserve">the federal entities most directly involved in immigration: </w:t>
      </w:r>
      <w:r w:rsidR="00C748AE" w:rsidRPr="000121C8">
        <w:rPr>
          <w:rFonts w:ascii="Myriad Pro" w:hAnsi="Myriad Pro"/>
        </w:rPr>
        <w:t xml:space="preserve">DOJ, EOIR, BIA, DHS, ICE, USCIS, and CBP. </w:t>
      </w:r>
      <w:r w:rsidR="00E5016D" w:rsidRPr="000121C8">
        <w:rPr>
          <w:rFonts w:ascii="Myriad Pro" w:hAnsi="Myriad Pro"/>
        </w:rPr>
        <w:t xml:space="preserve">Section 504 typically does </w:t>
      </w:r>
      <w:r w:rsidR="00E5016D" w:rsidRPr="000121C8">
        <w:rPr>
          <w:rFonts w:ascii="Myriad Pro" w:hAnsi="Myriad Pro"/>
          <w:u w:val="single"/>
        </w:rPr>
        <w:t>not</w:t>
      </w:r>
      <w:r w:rsidR="00E5016D" w:rsidRPr="000121C8">
        <w:rPr>
          <w:rFonts w:ascii="Myriad Pro" w:hAnsi="Myriad Pro"/>
        </w:rPr>
        <w:t xml:space="preserve"> apply to private contractors like private detention facilities, but DHS and ICE are </w:t>
      </w:r>
      <w:r w:rsidR="00CD3B79" w:rsidRPr="000121C8">
        <w:rPr>
          <w:rFonts w:ascii="Myriad Pro" w:hAnsi="Myriad Pro"/>
        </w:rPr>
        <w:t xml:space="preserve">still responsible for ensuring that their contractors follow </w:t>
      </w:r>
      <w:r w:rsidR="004D7104" w:rsidRPr="000121C8">
        <w:rPr>
          <w:rFonts w:ascii="Myriad Pro" w:hAnsi="Myriad Pro"/>
        </w:rPr>
        <w:t xml:space="preserve">the rules of </w:t>
      </w:r>
      <w:r w:rsidR="00CD3B79" w:rsidRPr="000121C8">
        <w:rPr>
          <w:rFonts w:ascii="Myriad Pro" w:hAnsi="Myriad Pro"/>
        </w:rPr>
        <w:t xml:space="preserve">Section 504. </w:t>
      </w:r>
      <w:r w:rsidR="00E5016D" w:rsidRPr="000121C8">
        <w:rPr>
          <w:rFonts w:ascii="Myriad Pro" w:hAnsi="Myriad Pro"/>
        </w:rPr>
        <w:t>Private contractors may be subject to other laws.</w:t>
      </w:r>
    </w:p>
    <w:p w14:paraId="7A929D19" w14:textId="16E71065" w:rsidR="00CD3B79" w:rsidRPr="000121C8" w:rsidRDefault="00F57A07" w:rsidP="00D71FA8">
      <w:pPr>
        <w:widowControl w:val="0"/>
        <w:spacing w:after="240"/>
        <w:rPr>
          <w:rFonts w:ascii="Myriad Pro" w:hAnsi="Myriad Pro"/>
        </w:rPr>
      </w:pPr>
      <w:r w:rsidRPr="000121C8">
        <w:rPr>
          <w:rFonts w:ascii="Myriad Pro" w:hAnsi="Myriad Pro"/>
        </w:rPr>
        <w:t xml:space="preserve">Section 504 requires that </w:t>
      </w:r>
      <w:r w:rsidR="00C748AE" w:rsidRPr="000121C8">
        <w:rPr>
          <w:rFonts w:ascii="Myriad Pro" w:hAnsi="Myriad Pro"/>
        </w:rPr>
        <w:t xml:space="preserve">federal </w:t>
      </w:r>
      <w:r w:rsidR="005D5D41" w:rsidRPr="000121C8">
        <w:rPr>
          <w:rFonts w:ascii="Myriad Pro" w:hAnsi="Myriad Pro"/>
        </w:rPr>
        <w:t xml:space="preserve">immigration </w:t>
      </w:r>
      <w:r w:rsidR="00C748AE" w:rsidRPr="000121C8">
        <w:rPr>
          <w:rFonts w:ascii="Myriad Pro" w:hAnsi="Myriad Pro"/>
        </w:rPr>
        <w:t xml:space="preserve">agencies make sure </w:t>
      </w:r>
      <w:r w:rsidRPr="000121C8">
        <w:rPr>
          <w:rFonts w:ascii="Myriad Pro" w:hAnsi="Myriad Pro"/>
        </w:rPr>
        <w:t xml:space="preserve">that immigrants with disabilities have access to all </w:t>
      </w:r>
      <w:r w:rsidR="00804CBE" w:rsidRPr="000121C8">
        <w:rPr>
          <w:rFonts w:ascii="Myriad Pro" w:hAnsi="Myriad Pro"/>
        </w:rPr>
        <w:t xml:space="preserve">relevant </w:t>
      </w:r>
      <w:r w:rsidRPr="000121C8">
        <w:rPr>
          <w:rFonts w:ascii="Myriad Pro" w:hAnsi="Myriad Pro"/>
        </w:rPr>
        <w:t>programs and activities</w:t>
      </w:r>
      <w:r w:rsidR="00787BE8" w:rsidRPr="000121C8">
        <w:rPr>
          <w:rFonts w:ascii="Myriad Pro" w:hAnsi="Myriad Pro"/>
        </w:rPr>
        <w:t>, including by providing reasonable accommodations</w:t>
      </w:r>
      <w:r w:rsidR="002C3A18" w:rsidRPr="000121C8">
        <w:rPr>
          <w:rFonts w:ascii="Myriad Pro" w:hAnsi="Myriad Pro"/>
        </w:rPr>
        <w:t xml:space="preserve">. </w:t>
      </w:r>
      <w:r w:rsidR="00E5016D" w:rsidRPr="000121C8">
        <w:rPr>
          <w:rFonts w:ascii="Myriad Pro" w:hAnsi="Myriad Pro"/>
        </w:rPr>
        <w:t>Disabled people may seek reasonable accommodations they need to equally access their immigration proceeding. Detainees with disabilities may seek accommodations to stay safe and to have equal access to programs and services.</w:t>
      </w:r>
    </w:p>
    <w:p w14:paraId="217AECF4" w14:textId="18CACA50" w:rsidR="00E5016D" w:rsidRPr="000121C8" w:rsidRDefault="00CD3B79" w:rsidP="00D71FA8">
      <w:pPr>
        <w:widowControl w:val="0"/>
        <w:spacing w:after="240"/>
        <w:rPr>
          <w:rFonts w:ascii="Myriad Pro" w:hAnsi="Myriad Pro"/>
        </w:rPr>
      </w:pPr>
      <w:r w:rsidRPr="000121C8">
        <w:rPr>
          <w:rFonts w:ascii="Myriad Pro" w:hAnsi="Myriad Pro"/>
        </w:rPr>
        <w:lastRenderedPageBreak/>
        <w:t xml:space="preserve">Federal agencies do not have to grant reasonable accommodations </w:t>
      </w:r>
      <w:r w:rsidR="004D7104" w:rsidRPr="000121C8">
        <w:rPr>
          <w:rFonts w:ascii="Myriad Pro" w:hAnsi="Myriad Pro"/>
        </w:rPr>
        <w:t xml:space="preserve">that impose an undue hardship or a fundamental alteration. They do not have to waive “essential” eligibility criteria. In other words, </w:t>
      </w:r>
      <w:r w:rsidR="00F07995" w:rsidRPr="000121C8">
        <w:rPr>
          <w:rFonts w:ascii="Myriad Pro" w:hAnsi="Myriad Pro"/>
        </w:rPr>
        <w:t>Section 504 means that agencies must treat immigrants with disabilities equally – but the basic rules of immigration still apply. Still, enforcement of Section 504 may help disabled immigrants have safer and more effective access to immigration programs and activities.</w:t>
      </w:r>
    </w:p>
    <w:p w14:paraId="77D64F9D" w14:textId="44B7973B" w:rsidR="00C2684B" w:rsidRPr="000121C8" w:rsidRDefault="00E5016D" w:rsidP="00D71FA8">
      <w:pPr>
        <w:widowControl w:val="0"/>
        <w:spacing w:after="240"/>
        <w:rPr>
          <w:rFonts w:ascii="Myriad Pro" w:hAnsi="Myriad Pro"/>
        </w:rPr>
      </w:pPr>
      <w:r w:rsidRPr="000121C8">
        <w:rPr>
          <w:rFonts w:ascii="Myriad Pro" w:hAnsi="Myriad Pro"/>
        </w:rPr>
        <w:t>In general, DREDF advises against advancing “disparate impact” theories of disability discrimination right now. Reach out to DREDF for advice and technical support on this</w:t>
      </w:r>
      <w:r w:rsidR="00DD4F6D">
        <w:rPr>
          <w:rFonts w:ascii="Myriad Pro" w:hAnsi="Myriad Pro"/>
        </w:rPr>
        <w:t>:</w:t>
      </w:r>
      <w:r w:rsidR="00827279" w:rsidRPr="000121C8">
        <w:rPr>
          <w:rFonts w:ascii="Myriad Pro" w:hAnsi="Myriad Pro"/>
        </w:rPr>
        <w:t xml:space="preserve"> </w:t>
      </w:r>
      <w:hyperlink r:id="rId10" w:history="1">
        <w:r w:rsidR="00827279" w:rsidRPr="000121C8">
          <w:rPr>
            <w:rStyle w:val="Hyperlink"/>
            <w:rFonts w:ascii="Myriad Pro" w:hAnsi="Myriad Pro"/>
          </w:rPr>
          <w:t>info@dredf.org</w:t>
        </w:r>
      </w:hyperlink>
      <w:r w:rsidRPr="000121C8">
        <w:rPr>
          <w:rFonts w:ascii="Myriad Pro" w:hAnsi="Myriad Pro"/>
        </w:rPr>
        <w:t>.</w:t>
      </w:r>
    </w:p>
    <w:p w14:paraId="73BB1DF0" w14:textId="77777777" w:rsidR="00193F62" w:rsidRDefault="00193F62">
      <w:pPr>
        <w:spacing w:line="276" w:lineRule="auto"/>
        <w:rPr>
          <w:rFonts w:ascii="Myriad Pro" w:hAnsi="Myriad Pro"/>
          <w:b/>
          <w:bCs/>
          <w:sz w:val="32"/>
          <w:szCs w:val="32"/>
        </w:rPr>
      </w:pPr>
      <w:r>
        <w:br w:type="page"/>
      </w:r>
    </w:p>
    <w:p w14:paraId="1B1E2DDD" w14:textId="4443AFC6" w:rsidR="002B7C50" w:rsidRPr="00D71FA8" w:rsidRDefault="002B7C50" w:rsidP="00425BDA">
      <w:pPr>
        <w:pStyle w:val="Heading1"/>
      </w:pPr>
      <w:r w:rsidRPr="000121C8">
        <w:lastRenderedPageBreak/>
        <w:t xml:space="preserve">Additional </w:t>
      </w:r>
      <w:r w:rsidR="00A15016" w:rsidRPr="000121C8">
        <w:t>R</w:t>
      </w:r>
      <w:r w:rsidRPr="000121C8">
        <w:t>esources</w:t>
      </w:r>
    </w:p>
    <w:p w14:paraId="116A76D9" w14:textId="72C57BC3" w:rsidR="00296956" w:rsidRPr="000121C8" w:rsidRDefault="00296956" w:rsidP="00D71FA8">
      <w:pPr>
        <w:widowControl w:val="0"/>
        <w:spacing w:after="240"/>
        <w:rPr>
          <w:rFonts w:ascii="Myriad Pro" w:hAnsi="Myriad Pro"/>
        </w:rPr>
      </w:pPr>
      <w:r w:rsidRPr="000121C8">
        <w:rPr>
          <w:rFonts w:ascii="Myriad Pro" w:hAnsi="Myriad Pro"/>
        </w:rPr>
        <w:t xml:space="preserve">DREDF, Frequently Asked Questions: Disability, Immigration, and Encounters with ICE (May 2026), </w:t>
      </w:r>
      <w:hyperlink r:id="rId11" w:history="1">
        <w:r w:rsidRPr="000121C8">
          <w:rPr>
            <w:rStyle w:val="Hyperlink"/>
            <w:rFonts w:ascii="Myriad Pro" w:hAnsi="Myriad Pro"/>
          </w:rPr>
          <w:t>https://dredf.org/faqs-disability-immigration-and-encounters-with-ice/</w:t>
        </w:r>
      </w:hyperlink>
    </w:p>
    <w:p w14:paraId="7FDB59C2" w14:textId="1D29D1C9" w:rsidR="00296956" w:rsidRPr="000121C8" w:rsidRDefault="00296956" w:rsidP="00D71FA8">
      <w:pPr>
        <w:widowControl w:val="0"/>
        <w:spacing w:after="240"/>
        <w:rPr>
          <w:rFonts w:ascii="Myriad Pro" w:hAnsi="Myriad Pro"/>
        </w:rPr>
      </w:pPr>
      <w:r w:rsidRPr="000121C8">
        <w:rPr>
          <w:rFonts w:ascii="Myriad Pro" w:hAnsi="Myriad Pro"/>
        </w:rPr>
        <w:t xml:space="preserve">DREDF, Know Your Rights: Reasonable Accommodations in Immigration Procedures and Proceedings (Apr. 2026), </w:t>
      </w:r>
      <w:hyperlink r:id="rId12" w:history="1">
        <w:r w:rsidRPr="000121C8">
          <w:rPr>
            <w:rStyle w:val="Hyperlink"/>
            <w:rFonts w:ascii="Myriad Pro" w:hAnsi="Myriad Pro"/>
          </w:rPr>
          <w:t>https://dredf.org/kyr-ras-immigration-procedures-and-proceedings/</w:t>
        </w:r>
      </w:hyperlink>
    </w:p>
    <w:p w14:paraId="6F9E3A1A" w14:textId="6861D812" w:rsidR="002B7C50" w:rsidRPr="000121C8" w:rsidRDefault="002B7C50" w:rsidP="00D71FA8">
      <w:pPr>
        <w:widowControl w:val="0"/>
        <w:spacing w:after="240"/>
        <w:rPr>
          <w:rFonts w:ascii="Myriad Pro" w:hAnsi="Myriad Pro"/>
        </w:rPr>
      </w:pPr>
      <w:r w:rsidRPr="000121C8">
        <w:rPr>
          <w:rFonts w:ascii="Myriad Pro" w:hAnsi="Myriad Pro"/>
        </w:rPr>
        <w:t xml:space="preserve">Laura Lunn et al., NQRP Practice Advisory: Procedural Safeguards and Section 504 of the Rehabilitation Act (Oct. 2023), </w:t>
      </w:r>
      <w:hyperlink r:id="rId13" w:history="1">
        <w:r w:rsidRPr="000121C8">
          <w:rPr>
            <w:rStyle w:val="Hyperlink"/>
            <w:rFonts w:ascii="Myriad Pro" w:hAnsi="Myriad Pro"/>
          </w:rPr>
          <w:t>https://acaciajustice.org/wp-content/uploads/2023/12/2023-10-30-NQRP-Practice-Advisory-Procedural-Safeguards-and-Section-504-FINAL-updated-10-2023.pdf</w:t>
        </w:r>
      </w:hyperlink>
    </w:p>
    <w:p w14:paraId="3F498989" w14:textId="0CAB1265" w:rsidR="002B7C50" w:rsidRPr="000121C8" w:rsidRDefault="002B7C50" w:rsidP="00D71FA8">
      <w:pPr>
        <w:widowControl w:val="0"/>
        <w:spacing w:after="240"/>
        <w:rPr>
          <w:rFonts w:ascii="Myriad Pro" w:hAnsi="Myriad Pro"/>
        </w:rPr>
      </w:pPr>
      <w:r w:rsidRPr="000121C8">
        <w:rPr>
          <w:rFonts w:ascii="Myriad Pro" w:hAnsi="Myriad Pro"/>
        </w:rPr>
        <w:t xml:space="preserve">Elizabeth Jordan, Accommodating Incompetency in Immigration Court, 119 Nw. U. L. Rev. 513 (2024), </w:t>
      </w:r>
      <w:hyperlink r:id="rId14" w:history="1">
        <w:r w:rsidRPr="000121C8">
          <w:rPr>
            <w:rStyle w:val="Hyperlink"/>
            <w:rFonts w:ascii="Myriad Pro" w:hAnsi="Myriad Pro"/>
          </w:rPr>
          <w:t>https://scholarlycommons.law.northwestern.edu/nulr/vol119/iss3/1</w:t>
        </w:r>
      </w:hyperlink>
    </w:p>
    <w:p w14:paraId="0F1C269A" w14:textId="19ED56BB" w:rsidR="002B7C50" w:rsidRPr="000121C8" w:rsidRDefault="002B7C50" w:rsidP="00D71FA8">
      <w:pPr>
        <w:widowControl w:val="0"/>
        <w:spacing w:after="240"/>
        <w:rPr>
          <w:rFonts w:ascii="Myriad Pro" w:hAnsi="Myriad Pro"/>
        </w:rPr>
      </w:pPr>
      <w:r w:rsidRPr="000121C8">
        <w:rPr>
          <w:rFonts w:ascii="Myriad Pro" w:hAnsi="Myriad Pro"/>
        </w:rPr>
        <w:t xml:space="preserve">American Immigration Council, Nightingale v. USCIS and FOIA Requests for Immigration Case Files (A-Files) (Dec. 2022), </w:t>
      </w:r>
      <w:hyperlink r:id="rId15" w:history="1">
        <w:r w:rsidRPr="000121C8">
          <w:rPr>
            <w:rStyle w:val="Hyperlink"/>
            <w:rFonts w:ascii="Myriad Pro" w:hAnsi="Myriad Pro"/>
          </w:rPr>
          <w:t>https://www.americanimmigrationcouncil.org/practice-advisory/nightingale-v-uscis-and-foia-requests-immigration-case-files-files/</w:t>
        </w:r>
      </w:hyperlink>
    </w:p>
    <w:p w14:paraId="729934EC" w14:textId="4124F397" w:rsidR="00296956" w:rsidRPr="000121C8" w:rsidRDefault="002B7C50" w:rsidP="00D71FA8">
      <w:pPr>
        <w:widowControl w:val="0"/>
        <w:spacing w:after="240"/>
        <w:rPr>
          <w:rFonts w:ascii="Myriad Pro" w:hAnsi="Myriad Pro"/>
        </w:rPr>
      </w:pPr>
      <w:r w:rsidRPr="000121C8">
        <w:rPr>
          <w:rFonts w:ascii="Myriad Pro" w:hAnsi="Myriad Pro"/>
        </w:rPr>
        <w:t xml:space="preserve">Immigrant Legal Resource Center, A Step-by-Step Guide to Completing FOIA Requests </w:t>
      </w:r>
      <w:proofErr w:type="gramStart"/>
      <w:r w:rsidRPr="000121C8">
        <w:rPr>
          <w:rFonts w:ascii="Myriad Pro" w:hAnsi="Myriad Pro"/>
        </w:rPr>
        <w:t>With</w:t>
      </w:r>
      <w:proofErr w:type="gramEnd"/>
      <w:r w:rsidRPr="000121C8">
        <w:rPr>
          <w:rFonts w:ascii="Myriad Pro" w:hAnsi="Myriad Pro"/>
        </w:rPr>
        <w:t xml:space="preserve"> DHS (Dec. 2021), </w:t>
      </w:r>
      <w:hyperlink r:id="rId16" w:history="1">
        <w:r w:rsidRPr="000121C8">
          <w:rPr>
            <w:rStyle w:val="Hyperlink"/>
            <w:rFonts w:ascii="Myriad Pro" w:hAnsi="Myriad Pro"/>
          </w:rPr>
          <w:t>https://www.ilrc.org/sites/default/files/resources/new_foia_dhs_practice_advisory_-_2021_0.pdf</w:t>
        </w:r>
      </w:hyperlink>
    </w:p>
    <w:p w14:paraId="0C43FA3E" w14:textId="41A1AF6A" w:rsidR="00296956" w:rsidRPr="000121C8" w:rsidRDefault="00296956" w:rsidP="00D71FA8">
      <w:pPr>
        <w:widowControl w:val="0"/>
        <w:spacing w:after="240"/>
        <w:rPr>
          <w:rFonts w:ascii="Myriad Pro" w:hAnsi="Myriad Pro"/>
        </w:rPr>
      </w:pPr>
      <w:r w:rsidRPr="000121C8">
        <w:rPr>
          <w:rFonts w:ascii="Myriad Pro" w:hAnsi="Myriad Pro"/>
        </w:rPr>
        <w:t xml:space="preserve">Theresa Cheng, et al., Advocating </w:t>
      </w:r>
      <w:proofErr w:type="gramStart"/>
      <w:r w:rsidRPr="000121C8">
        <w:rPr>
          <w:rFonts w:ascii="Myriad Pro" w:hAnsi="Myriad Pro"/>
        </w:rPr>
        <w:t>On</w:t>
      </w:r>
      <w:proofErr w:type="gramEnd"/>
      <w:r w:rsidRPr="000121C8">
        <w:rPr>
          <w:rFonts w:ascii="Myriad Pro" w:hAnsi="Myriad Pro"/>
        </w:rPr>
        <w:t xml:space="preserve"> Behalf of Patients in Immigration Custody: A Resource for Health Care Providers and Medical Staff (June 2026), </w:t>
      </w:r>
      <w:hyperlink r:id="rId17" w:history="1">
        <w:r w:rsidRPr="000121C8">
          <w:rPr>
            <w:rStyle w:val="Hyperlink"/>
            <w:rFonts w:ascii="Myriad Pro" w:hAnsi="Myriad Pro"/>
          </w:rPr>
          <w:t>https://www.nilc.org/resources/advocating-on-behalf-of-patients-in-ice-custody-a-resource-for-healthcare-providers/</w:t>
        </w:r>
      </w:hyperlink>
    </w:p>
    <w:p w14:paraId="7C852686" w14:textId="72D33AE3" w:rsidR="008275BE" w:rsidRPr="000121C8" w:rsidRDefault="002B7C50" w:rsidP="00D71FA8">
      <w:pPr>
        <w:widowControl w:val="0"/>
        <w:spacing w:after="240"/>
        <w:rPr>
          <w:rFonts w:ascii="Myriad Pro" w:hAnsi="Myriad Pro"/>
        </w:rPr>
      </w:pPr>
      <w:r w:rsidRPr="000121C8">
        <w:rPr>
          <w:rFonts w:ascii="Myriad Pro" w:hAnsi="Myriad Pro"/>
        </w:rPr>
        <w:t xml:space="preserve">Catholic Legal Immigration Network (CLINIC), Representing Noncitizens with Mental Illness (May 2020), </w:t>
      </w:r>
      <w:hyperlink r:id="rId18" w:history="1">
        <w:r w:rsidRPr="000121C8">
          <w:rPr>
            <w:rStyle w:val="Hyperlink"/>
            <w:rFonts w:ascii="Myriad Pro" w:hAnsi="Myriad Pro"/>
          </w:rPr>
          <w:t>https://www.cliniclegal.org/file-download/download/public/3756</w:t>
        </w:r>
      </w:hyperlink>
    </w:p>
    <w:p w14:paraId="01C2FDDE" w14:textId="2C871E50" w:rsidR="00A11452" w:rsidRPr="000121C8" w:rsidRDefault="00A11452" w:rsidP="00425BDA">
      <w:pPr>
        <w:pStyle w:val="Heading1"/>
      </w:pPr>
      <w:r w:rsidRPr="000121C8">
        <w:t>Acknowledgements</w:t>
      </w:r>
    </w:p>
    <w:p w14:paraId="6CEE2D33" w14:textId="3847A8DB" w:rsidR="008275BE" w:rsidRPr="000121C8" w:rsidRDefault="00A11452" w:rsidP="00D71FA8">
      <w:pPr>
        <w:widowControl w:val="0"/>
        <w:spacing w:after="240"/>
        <w:rPr>
          <w:rFonts w:ascii="Myriad Pro" w:hAnsi="Myriad Pro"/>
        </w:rPr>
      </w:pPr>
      <w:r w:rsidRPr="000121C8">
        <w:rPr>
          <w:rFonts w:ascii="Myriad Pro" w:hAnsi="Myriad Pro"/>
        </w:rPr>
        <w:t>DREDF acknowledges Ariel Brown of Immigrant Legal Resources Center and Jennifer Whitlock of National Immigration Law Center for their time.</w:t>
      </w:r>
    </w:p>
    <w:sectPr w:rsidR="008275BE" w:rsidRPr="000121C8" w:rsidSect="00F30383">
      <w:pgSz w:w="12240" w:h="15840"/>
      <w:pgMar w:top="1440" w:right="1440" w:bottom="1440" w:left="1440"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2450F0C" w14:textId="77777777" w:rsidR="00E818A0" w:rsidRDefault="00E818A0">
      <w:r>
        <w:separator/>
      </w:r>
    </w:p>
  </w:endnote>
  <w:endnote w:type="continuationSeparator" w:id="0">
    <w:p w14:paraId="1B744EF8" w14:textId="77777777" w:rsidR="00E818A0" w:rsidRDefault="00E81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972327F" w14:textId="402327EB" w:rsidR="008A6CA6" w:rsidRPr="00DD4F6D" w:rsidRDefault="008A6CA6" w:rsidP="008A6CA6">
    <w:pPr>
      <w:pStyle w:val="Footer"/>
      <w:jc w:val="center"/>
      <w:rPr>
        <w:rFonts w:ascii="Myriad Pro" w:hAnsi="Myriad Pro"/>
        <w:sz w:val="24"/>
        <w:szCs w:val="24"/>
      </w:rPr>
    </w:pPr>
    <w:r w:rsidRPr="00DD4F6D">
      <w:rPr>
        <w:rFonts w:ascii="Myriad Pro" w:hAnsi="Myriad Pro"/>
        <w:sz w:val="24"/>
        <w:szCs w:val="24"/>
      </w:rPr>
      <w:t xml:space="preserve">Page </w:t>
    </w:r>
    <w:r w:rsidRPr="00DD4F6D">
      <w:rPr>
        <w:rStyle w:val="PageNumber"/>
        <w:rFonts w:ascii="Myriad Pro" w:hAnsi="Myriad Pro"/>
        <w:sz w:val="24"/>
        <w:szCs w:val="24"/>
      </w:rPr>
      <w:fldChar w:fldCharType="begin"/>
    </w:r>
    <w:r w:rsidRPr="00DD4F6D">
      <w:rPr>
        <w:rStyle w:val="PageNumber"/>
        <w:rFonts w:ascii="Myriad Pro" w:hAnsi="Myriad Pro"/>
        <w:sz w:val="24"/>
        <w:szCs w:val="24"/>
      </w:rPr>
      <w:instrText xml:space="preserve"> PAGE </w:instrText>
    </w:r>
    <w:r w:rsidRPr="00DD4F6D">
      <w:rPr>
        <w:rStyle w:val="PageNumber"/>
        <w:rFonts w:ascii="Myriad Pro" w:hAnsi="Myriad Pro"/>
        <w:sz w:val="24"/>
        <w:szCs w:val="24"/>
      </w:rPr>
      <w:fldChar w:fldCharType="separate"/>
    </w:r>
    <w:r w:rsidRPr="00DD4F6D">
      <w:rPr>
        <w:rStyle w:val="PageNumber"/>
        <w:rFonts w:ascii="Myriad Pro" w:hAnsi="Myriad Pro"/>
        <w:noProof/>
        <w:sz w:val="24"/>
        <w:szCs w:val="24"/>
      </w:rPr>
      <w:t>2</w:t>
    </w:r>
    <w:r w:rsidRPr="00DD4F6D">
      <w:rPr>
        <w:rStyle w:val="PageNumber"/>
        <w:rFonts w:ascii="Myriad Pro" w:hAnsi="Myriad Pro"/>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7D047C6" w14:textId="77777777" w:rsidR="00E818A0" w:rsidRDefault="00E818A0">
      <w:r>
        <w:separator/>
      </w:r>
    </w:p>
  </w:footnote>
  <w:footnote w:type="continuationSeparator" w:id="0">
    <w:p w14:paraId="0E272F5F" w14:textId="77777777" w:rsidR="00E818A0" w:rsidRDefault="00E818A0">
      <w:r>
        <w:continuationSeparator/>
      </w:r>
    </w:p>
  </w:footnote>
  <w:footnote w:id="1">
    <w:p w14:paraId="0AF489B7" w14:textId="72C6C7DD" w:rsidR="00FE7CFE" w:rsidRPr="003A25CE" w:rsidRDefault="00FE7CFE"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Caitlin Patler, et al., The health-related experiences of detained immigrants with and without mental illness, 11 J. of </w:t>
      </w:r>
      <w:proofErr w:type="spellStart"/>
      <w:r w:rsidRPr="003A25CE">
        <w:rPr>
          <w:rFonts w:ascii="Myriad Pro" w:hAnsi="Myriad Pro"/>
        </w:rPr>
        <w:t>Migr</w:t>
      </w:r>
      <w:proofErr w:type="spellEnd"/>
      <w:r w:rsidRPr="003A25CE">
        <w:rPr>
          <w:rFonts w:ascii="Myriad Pro" w:hAnsi="Myriad Pro"/>
        </w:rPr>
        <w:t xml:space="preserve">. &amp; Health (2025), </w:t>
      </w:r>
      <w:hyperlink r:id="rId1" w:history="1">
        <w:r w:rsidRPr="003A25CE">
          <w:rPr>
            <w:rStyle w:val="Hyperlink"/>
            <w:rFonts w:ascii="Myriad Pro" w:hAnsi="Myriad Pro"/>
          </w:rPr>
          <w:t>https://www.sciencedirect.com/science/article/pii/S2666623525000017</w:t>
        </w:r>
      </w:hyperlink>
      <w:r w:rsidRPr="003A25CE">
        <w:rPr>
          <w:rFonts w:ascii="Myriad Pro" w:hAnsi="Myriad Pro"/>
        </w:rPr>
        <w:t xml:space="preserve">; </w:t>
      </w:r>
      <w:r w:rsidR="002D0069" w:rsidRPr="003A25CE">
        <w:rPr>
          <w:rFonts w:ascii="Myriad Pro" w:hAnsi="Myriad Pro"/>
        </w:rPr>
        <w:t xml:space="preserve">Disability Rights California, “They Treat Us Like Dogs in Cages”: Inside the Adelanto ICE Processing Center (July 2025), </w:t>
      </w:r>
      <w:hyperlink r:id="rId2" w:history="1">
        <w:r w:rsidR="002D0069" w:rsidRPr="003A25CE">
          <w:rPr>
            <w:rStyle w:val="Hyperlink"/>
            <w:rFonts w:ascii="Myriad Pro" w:hAnsi="Myriad Pro"/>
          </w:rPr>
          <w:t>https://www.disabilityrightsca.org/drc-advocacy/investigations/inside-the-adelanto-ice-processing-center</w:t>
        </w:r>
      </w:hyperlink>
      <w:r w:rsidR="002D0069" w:rsidRPr="003A25CE">
        <w:rPr>
          <w:rFonts w:ascii="Myriad Pro" w:hAnsi="Myriad Pro"/>
        </w:rPr>
        <w:t xml:space="preserve">; </w:t>
      </w:r>
      <w:r w:rsidRPr="003A25CE">
        <w:rPr>
          <w:rFonts w:ascii="Myriad Pro" w:hAnsi="Myriad Pro"/>
        </w:rPr>
        <w:t xml:space="preserve">Irina Verhülsdonk, et al., Prevalence of psychiatric disorders among refugees and migrants in immigration detention: systematic review with meta-analysis, 7 </w:t>
      </w:r>
      <w:proofErr w:type="spellStart"/>
      <w:r w:rsidRPr="003A25CE">
        <w:rPr>
          <w:rFonts w:ascii="Myriad Pro" w:hAnsi="Myriad Pro"/>
        </w:rPr>
        <w:t>BJPsych</w:t>
      </w:r>
      <w:proofErr w:type="spellEnd"/>
      <w:r w:rsidRPr="003A25CE">
        <w:rPr>
          <w:rFonts w:ascii="Myriad Pro" w:hAnsi="Myriad Pro"/>
        </w:rPr>
        <w:t xml:space="preserve"> Open. (Nov. 2021); </w:t>
      </w:r>
      <w:r w:rsidR="002D0069" w:rsidRPr="003A25CE">
        <w:rPr>
          <w:rFonts w:ascii="Myriad Pro" w:hAnsi="Myriad Pro"/>
        </w:rPr>
        <w:t xml:space="preserve">Human Rights First, Representing Asylum Seekers with Disabilities: Relevant Law (Sept. 2023), </w:t>
      </w:r>
      <w:hyperlink r:id="rId3" w:history="1">
        <w:r w:rsidR="002D0069" w:rsidRPr="003A25CE">
          <w:rPr>
            <w:rStyle w:val="Hyperlink"/>
            <w:rFonts w:ascii="Myriad Pro" w:hAnsi="Myriad Pro"/>
          </w:rPr>
          <w:t>https://humanrightsfirst.org/library/representing-asylum-seekers-with-disabilities-relevant-law/</w:t>
        </w:r>
      </w:hyperlink>
      <w:r w:rsidR="002D0069" w:rsidRPr="003A25CE">
        <w:rPr>
          <w:rFonts w:ascii="Myriad Pro" w:hAnsi="Myriad Pro"/>
        </w:rPr>
        <w:t xml:space="preserve">; </w:t>
      </w:r>
      <w:r w:rsidRPr="003A25CE">
        <w:rPr>
          <w:rFonts w:ascii="Myriad Pro" w:hAnsi="Myriad Pro"/>
        </w:rPr>
        <w:t xml:space="preserve">Adam England, Immigration Trauma: What It Is and How to Cope (Jan. 2026), </w:t>
      </w:r>
      <w:hyperlink r:id="rId4" w:history="1">
        <w:r w:rsidRPr="003A25CE">
          <w:rPr>
            <w:rStyle w:val="Hyperlink"/>
            <w:rFonts w:ascii="Myriad Pro" w:hAnsi="Myriad Pro"/>
          </w:rPr>
          <w:t>https://www.verywellmind.com/immigration-trauma-6745707</w:t>
        </w:r>
      </w:hyperlink>
      <w:r w:rsidR="002D0069" w:rsidRPr="003A25CE">
        <w:rPr>
          <w:rFonts w:ascii="Myriad Pro" w:hAnsi="Myriad Pro"/>
        </w:rPr>
        <w:t xml:space="preserve">. </w:t>
      </w:r>
    </w:p>
  </w:footnote>
  <w:footnote w:id="2">
    <w:p w14:paraId="3EAB2996" w14:textId="77777777" w:rsidR="00AD791D" w:rsidRPr="003A25CE" w:rsidRDefault="00AD791D"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The Section 504 regulations by DHS and DOJ (as with other agencies’ Section 504 regulations) prohibit discrimination against people with disabilities “by reason of his or her disability,” 6 C.F.R. § 15.30(a), and do not include the term “solely by reason of her or his disability” that appears in Section 504. </w:t>
      </w:r>
      <w:r w:rsidRPr="003A25CE">
        <w:rPr>
          <w:rFonts w:ascii="Myriad Pro" w:hAnsi="Myriad Pro"/>
          <w:i/>
          <w:iCs/>
        </w:rPr>
        <w:t xml:space="preserve">See </w:t>
      </w:r>
      <w:r w:rsidRPr="003A25CE">
        <w:rPr>
          <w:rFonts w:ascii="Myriad Pro" w:hAnsi="Myriad Pro"/>
        </w:rPr>
        <w:t xml:space="preserve">U.S. Department of Homeland Security: Office for Civil Rights and Civil Liberties, Guide 065-01-001-01, Component Self-Evaluation and Planning Reference Guide, page 3 note 1, </w:t>
      </w:r>
      <w:hyperlink r:id="rId5" w:history="1">
        <w:r w:rsidRPr="003A25CE">
          <w:rPr>
            <w:rStyle w:val="Hyperlink"/>
            <w:rFonts w:ascii="Myriad Pro" w:hAnsi="Myriad Pro"/>
          </w:rPr>
          <w:t>https://www.dhs.gov/sites/default/files/publications/disability-guide-component-self-evaluation.pdf</w:t>
        </w:r>
      </w:hyperlink>
      <w:r w:rsidRPr="003A25CE">
        <w:rPr>
          <w:rFonts w:ascii="Myriad Pro" w:hAnsi="Myriad Pro"/>
        </w:rPr>
        <w:t xml:space="preserve">. </w:t>
      </w:r>
    </w:p>
  </w:footnote>
  <w:footnote w:id="3">
    <w:p w14:paraId="0483550B" w14:textId="69D5FF9D" w:rsidR="007970D7" w:rsidRPr="003A25CE" w:rsidRDefault="007970D7"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There are differences </w:t>
      </w:r>
      <w:r w:rsidR="002A542D" w:rsidRPr="003A25CE">
        <w:rPr>
          <w:rFonts w:ascii="Myriad Pro" w:hAnsi="Myriad Pro"/>
        </w:rPr>
        <w:t xml:space="preserve">in the laws that apply to </w:t>
      </w:r>
      <w:r w:rsidRPr="003A25CE">
        <w:rPr>
          <w:rFonts w:ascii="Myriad Pro" w:hAnsi="Myriad Pro"/>
        </w:rPr>
        <w:t xml:space="preserve">government and private detention facilities. </w:t>
      </w:r>
    </w:p>
  </w:footnote>
  <w:footnote w:id="4">
    <w:p w14:paraId="49C56C68" w14:textId="77777777" w:rsidR="001D7315" w:rsidRPr="003A25CE" w:rsidRDefault="001D7315"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w:t>
      </w:r>
      <w:r w:rsidRPr="003A25CE">
        <w:rPr>
          <w:rFonts w:ascii="Myriad Pro" w:hAnsi="Myriad Pro"/>
          <w:i/>
          <w:iCs/>
        </w:rPr>
        <w:t xml:space="preserve">See </w:t>
      </w:r>
      <w:r w:rsidRPr="003A25CE">
        <w:rPr>
          <w:rFonts w:ascii="Myriad Pro" w:hAnsi="Myriad Pro"/>
        </w:rPr>
        <w:t xml:space="preserve">Nondiscrimination for Individuals with Disabilities In DHS-Conducted Programs and Activities (Non-Employment) (Sept. 25, 2013), </w:t>
      </w:r>
      <w:hyperlink r:id="rId6" w:history="1">
        <w:r w:rsidRPr="003A25CE">
          <w:rPr>
            <w:rStyle w:val="Hyperlink"/>
            <w:rFonts w:ascii="Myriad Pro" w:hAnsi="Myriad Pro"/>
          </w:rPr>
          <w:t>https://www.dhs.gov/sites/default/files/publications/dhs-management-directive-disability-access_0_0.pdf</w:t>
        </w:r>
      </w:hyperlink>
      <w:r w:rsidRPr="003A25CE">
        <w:rPr>
          <w:rFonts w:ascii="Myriad Pro" w:hAnsi="Myriad Pro"/>
        </w:rPr>
        <w:t xml:space="preserve"> (describing DHS’s nondiscrimination policy for people with disabilities, and listing similar affirmative commitments); Instruction on Nondiscrimination for Individuals with Disabilities in DHS-Conducted Programs and Activities (Non-employment) (March 13, 2015), </w:t>
      </w:r>
      <w:hyperlink r:id="rId7" w:history="1">
        <w:r w:rsidRPr="003A25CE">
          <w:rPr>
            <w:rStyle w:val="Hyperlink"/>
            <w:rFonts w:ascii="Myriad Pro" w:hAnsi="Myriad Pro"/>
          </w:rPr>
          <w:t>https://www.dhs.gov/sites/default/files/publications/dhs-instruction-nondiscrimination-individuals-disabilities_03-07-15.pdf</w:t>
        </w:r>
      </w:hyperlink>
      <w:r w:rsidRPr="003A25CE">
        <w:rPr>
          <w:rFonts w:ascii="Myriad Pro" w:hAnsi="Myriad Pro"/>
        </w:rPr>
        <w:t xml:space="preserve"> (providing instructions for implementation of policy).</w:t>
      </w:r>
    </w:p>
  </w:footnote>
  <w:footnote w:id="5">
    <w:p w14:paraId="562F6E43" w14:textId="77777777" w:rsidR="00B46BC5" w:rsidRPr="003A25CE" w:rsidRDefault="00B46BC5"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w:t>
      </w:r>
      <w:r w:rsidRPr="003A25CE">
        <w:rPr>
          <w:rFonts w:ascii="Myriad Pro" w:hAnsi="Myriad Pro"/>
          <w:i/>
          <w:iCs/>
          <w:szCs w:val="24"/>
        </w:rPr>
        <w:t>Alexander v. Choate</w:t>
      </w:r>
      <w:r w:rsidRPr="003A25CE">
        <w:rPr>
          <w:rFonts w:ascii="Myriad Pro" w:hAnsi="Myriad Pro"/>
          <w:szCs w:val="24"/>
        </w:rPr>
        <w:t xml:space="preserve">, 469 U.S. 287, 301 (1985); </w:t>
      </w:r>
      <w:r w:rsidRPr="003A25CE">
        <w:rPr>
          <w:rFonts w:ascii="Myriad Pro" w:hAnsi="Myriad Pro"/>
          <w:i/>
          <w:iCs/>
          <w:szCs w:val="24"/>
        </w:rPr>
        <w:t>Make the Rd. N.Y. v. Cuccinelli</w:t>
      </w:r>
      <w:r w:rsidRPr="003A25CE">
        <w:rPr>
          <w:rFonts w:ascii="Myriad Pro" w:hAnsi="Myriad Pro"/>
          <w:szCs w:val="24"/>
        </w:rPr>
        <w:t xml:space="preserve">, 419 F. Supp. 3d 647, 664 (S.D.N.Y. 2019); </w:t>
      </w:r>
      <w:r w:rsidRPr="003A25CE">
        <w:rPr>
          <w:rFonts w:ascii="Myriad Pro" w:hAnsi="Myriad Pro"/>
          <w:i/>
          <w:iCs/>
          <w:szCs w:val="24"/>
        </w:rPr>
        <w:t xml:space="preserve">New York v. United States </w:t>
      </w:r>
      <w:proofErr w:type="spellStart"/>
      <w:r w:rsidRPr="003A25CE">
        <w:rPr>
          <w:rFonts w:ascii="Myriad Pro" w:hAnsi="Myriad Pro"/>
          <w:i/>
          <w:iCs/>
          <w:szCs w:val="24"/>
        </w:rPr>
        <w:t>Dep’t</w:t>
      </w:r>
      <w:proofErr w:type="spellEnd"/>
      <w:r w:rsidRPr="003A25CE">
        <w:rPr>
          <w:rFonts w:ascii="Myriad Pro" w:hAnsi="Myriad Pro"/>
          <w:i/>
          <w:iCs/>
          <w:szCs w:val="24"/>
        </w:rPr>
        <w:t xml:space="preserve"> of Homeland Sec</w:t>
      </w:r>
      <w:r w:rsidRPr="003A25CE">
        <w:rPr>
          <w:rFonts w:ascii="Myriad Pro" w:hAnsi="Myriad Pro"/>
          <w:szCs w:val="24"/>
        </w:rPr>
        <w:t xml:space="preserve">., 408 F. Supp. 3d 334, 350 (S.D.N.Y. 2019); </w:t>
      </w:r>
      <w:r w:rsidRPr="003A25CE">
        <w:rPr>
          <w:rFonts w:ascii="Myriad Pro" w:hAnsi="Myriad Pro"/>
          <w:i/>
          <w:iCs/>
          <w:szCs w:val="24"/>
        </w:rPr>
        <w:t xml:space="preserve">Avirmed v. United States </w:t>
      </w:r>
      <w:proofErr w:type="spellStart"/>
      <w:r w:rsidRPr="003A25CE">
        <w:rPr>
          <w:rFonts w:ascii="Myriad Pro" w:hAnsi="Myriad Pro"/>
          <w:i/>
          <w:iCs/>
          <w:szCs w:val="24"/>
        </w:rPr>
        <w:t>Dep’t</w:t>
      </w:r>
      <w:proofErr w:type="spellEnd"/>
      <w:r w:rsidRPr="003A25CE">
        <w:rPr>
          <w:rFonts w:ascii="Myriad Pro" w:hAnsi="Myriad Pro"/>
          <w:i/>
          <w:iCs/>
          <w:szCs w:val="24"/>
        </w:rPr>
        <w:t xml:space="preserve"> of Homeland Sec</w:t>
      </w:r>
      <w:r w:rsidRPr="003A25CE">
        <w:rPr>
          <w:rFonts w:ascii="Myriad Pro" w:hAnsi="Myriad Pro"/>
          <w:szCs w:val="24"/>
        </w:rPr>
        <w:t xml:space="preserve">., No. 25-cv-1310-DMS-DEB, 2025 U.S. Dist. LEXIS 135888, at *15 (S.D. Cal. July 16, 2025); </w:t>
      </w:r>
      <w:r w:rsidRPr="003A25CE">
        <w:rPr>
          <w:rFonts w:ascii="Myriad Pro" w:hAnsi="Myriad Pro"/>
          <w:i/>
          <w:iCs/>
          <w:szCs w:val="24"/>
        </w:rPr>
        <w:t xml:space="preserve">see also </w:t>
      </w:r>
      <w:r w:rsidRPr="003A25CE">
        <w:rPr>
          <w:rFonts w:ascii="Myriad Pro" w:hAnsi="Myriad Pro"/>
          <w:szCs w:val="24"/>
        </w:rPr>
        <w:t>45 C.F.R. § 84.68(b)(7)(</w:t>
      </w:r>
      <w:proofErr w:type="spellStart"/>
      <w:r w:rsidRPr="003A25CE">
        <w:rPr>
          <w:rFonts w:ascii="Myriad Pro" w:hAnsi="Myriad Pro"/>
          <w:szCs w:val="24"/>
        </w:rPr>
        <w:t>i</w:t>
      </w:r>
      <w:proofErr w:type="spellEnd"/>
      <w:r w:rsidRPr="003A25CE">
        <w:rPr>
          <w:rFonts w:ascii="Myriad Pro" w:hAnsi="Myriad Pro"/>
          <w:szCs w:val="24"/>
        </w:rPr>
        <w:t>) (“A recipient shall make reasonable modifications in policies, practices, or procedures when such modifications are necessary to avoid discrimination on the basis of disability …”).</w:t>
      </w:r>
    </w:p>
  </w:footnote>
  <w:footnote w:id="6">
    <w:p w14:paraId="5C312CF4" w14:textId="77777777" w:rsidR="005A18C4" w:rsidRPr="003A25CE" w:rsidRDefault="005A18C4"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ICE, National Detention Standards (rev. 2025), </w:t>
      </w:r>
      <w:hyperlink r:id="rId8" w:history="1">
        <w:r w:rsidRPr="003A25CE">
          <w:rPr>
            <w:rStyle w:val="Hyperlink"/>
            <w:rFonts w:ascii="Myriad Pro" w:hAnsi="Myriad Pro"/>
          </w:rPr>
          <w:t>https://www.ice.gov/doclib/detention-standards/2025/nds2025.pdf</w:t>
        </w:r>
      </w:hyperlink>
      <w:r w:rsidRPr="003A25CE">
        <w:rPr>
          <w:rFonts w:ascii="Myriad Pro" w:hAnsi="Myriad Pro"/>
        </w:rPr>
        <w:t xml:space="preserve">. </w:t>
      </w:r>
    </w:p>
  </w:footnote>
  <w:footnote w:id="7">
    <w:p w14:paraId="39053ECB" w14:textId="225B48E6" w:rsidR="003173C4" w:rsidRPr="003A25CE" w:rsidRDefault="003173C4"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w:t>
      </w:r>
      <w:r w:rsidR="00C93C34" w:rsidRPr="003A25CE">
        <w:rPr>
          <w:rFonts w:ascii="Myriad Pro" w:hAnsi="Myriad Pro"/>
          <w:i/>
          <w:iCs/>
        </w:rPr>
        <w:t>See also</w:t>
      </w:r>
      <w:r w:rsidR="00C93C34" w:rsidRPr="003A25CE">
        <w:rPr>
          <w:rFonts w:ascii="Myriad Pro" w:hAnsi="Myriad Pro"/>
        </w:rPr>
        <w:t xml:space="preserve"> National Immigration Law Center, Public Charge: What Advocates Need to Know About the November 2025 Proposed Rule (Nov. 18, 2025), </w:t>
      </w:r>
      <w:hyperlink r:id="rId9" w:history="1">
        <w:r w:rsidR="00C93C34" w:rsidRPr="003A25CE">
          <w:rPr>
            <w:rStyle w:val="Hyperlink"/>
            <w:rFonts w:ascii="Myriad Pro" w:hAnsi="Myriad Pro"/>
          </w:rPr>
          <w:t>https://www.nilc.org/resources/public-charge-what-advocates-need-to-know-about-the-november-2025-proposed-rule/</w:t>
        </w:r>
      </w:hyperlink>
      <w:r w:rsidR="00C93C34" w:rsidRPr="003A25CE">
        <w:rPr>
          <w:rFonts w:ascii="Myriad Pro" w:hAnsi="Myriad Pro"/>
        </w:rPr>
        <w:t xml:space="preserve">. </w:t>
      </w:r>
    </w:p>
  </w:footnote>
  <w:footnote w:id="8">
    <w:p w14:paraId="35675A15" w14:textId="7BA59464" w:rsidR="001D7315" w:rsidRPr="003A25CE" w:rsidRDefault="001D7315"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w:t>
      </w:r>
      <w:r w:rsidRPr="003A25CE">
        <w:rPr>
          <w:rFonts w:ascii="Myriad Pro" w:hAnsi="Myriad Pro"/>
          <w:i/>
          <w:iCs/>
        </w:rPr>
        <w:t xml:space="preserve">See also </w:t>
      </w:r>
      <w:r w:rsidRPr="003A25CE">
        <w:rPr>
          <w:rFonts w:ascii="Myriad Pro" w:hAnsi="Myriad Pro"/>
          <w:bdr w:val="none" w:sz="0" w:space="0" w:color="auto" w:frame="1"/>
        </w:rPr>
        <w:t xml:space="preserve">26 Op. O.L.C. 16 (Mar. 13, 2002), </w:t>
      </w:r>
      <w:hyperlink r:id="rId10" w:history="1">
        <w:r w:rsidRPr="003A25CE">
          <w:rPr>
            <w:rStyle w:val="Hyperlink"/>
            <w:rFonts w:ascii="Myriad Pro" w:hAnsi="Myriad Pro"/>
            <w:bdr w:val="none" w:sz="0" w:space="0" w:color="auto" w:frame="1"/>
          </w:rPr>
          <w:t>https://www.justice.gov/sites/default/files/olc/legacy/2013/07/26/op-olc-26.pdf</w:t>
        </w:r>
      </w:hyperlink>
      <w:r w:rsidRPr="003A25CE">
        <w:rPr>
          <w:rFonts w:ascii="Myriad Pro" w:hAnsi="Myriad Pro"/>
          <w:bdr w:val="none" w:sz="0" w:space="0" w:color="auto" w:frame="1"/>
        </w:rPr>
        <w:t xml:space="preserve"> (reaching same conclusion).</w:t>
      </w:r>
    </w:p>
  </w:footnote>
  <w:footnote w:id="9">
    <w:p w14:paraId="15CC60B9" w14:textId="77777777" w:rsidR="00B46413" w:rsidRPr="003A25CE" w:rsidRDefault="00B46413"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w:t>
      </w:r>
      <w:r w:rsidRPr="003A25CE">
        <w:rPr>
          <w:rFonts w:ascii="Myriad Pro" w:hAnsi="Myriad Pro"/>
          <w:i/>
          <w:iCs/>
        </w:rPr>
        <w:t>See</w:t>
      </w:r>
      <w:r w:rsidRPr="003A25CE">
        <w:rPr>
          <w:rFonts w:ascii="Myriad Pro" w:hAnsi="Myriad Pro"/>
        </w:rPr>
        <w:t xml:space="preserve">, </w:t>
      </w:r>
      <w:r w:rsidRPr="003A25CE">
        <w:rPr>
          <w:rFonts w:ascii="Myriad Pro" w:hAnsi="Myriad Pro"/>
          <w:i/>
          <w:iCs/>
        </w:rPr>
        <w:t>e.g.</w:t>
      </w:r>
      <w:r w:rsidRPr="003A25CE">
        <w:rPr>
          <w:rFonts w:ascii="Myriad Pro" w:hAnsi="Myriad Pro"/>
        </w:rPr>
        <w:t xml:space="preserve">, USCIS, Disability Accommodations for the Public, </w:t>
      </w:r>
      <w:hyperlink r:id="rId11" w:history="1">
        <w:r w:rsidRPr="003A25CE">
          <w:rPr>
            <w:rStyle w:val="Hyperlink"/>
            <w:rFonts w:ascii="Myriad Pro" w:hAnsi="Myriad Pro"/>
          </w:rPr>
          <w:t>https://www.uscis.gov/about-us/disability-accommodations-for-the-public</w:t>
        </w:r>
      </w:hyperlink>
      <w:r w:rsidRPr="003A25CE">
        <w:rPr>
          <w:rFonts w:ascii="Myriad Pro" w:hAnsi="Myriad Pro"/>
        </w:rPr>
        <w:t xml:space="preserve">; ICE Policy 6000: Assessment and Accommodations for Detainees with Disabilities (Feb. 2025), </w:t>
      </w:r>
      <w:hyperlink r:id="rId12" w:history="1">
        <w:r w:rsidRPr="003A25CE">
          <w:rPr>
            <w:rStyle w:val="Hyperlink"/>
            <w:rFonts w:ascii="Myriad Pro" w:hAnsi="Myriad Pro"/>
          </w:rPr>
          <w:t>https://www.aila.org/library/ice-policy-6000-assessment-and-accommodations-for-detainees-with-disabilities</w:t>
        </w:r>
      </w:hyperlink>
      <w:r w:rsidRPr="003A25CE">
        <w:rPr>
          <w:rFonts w:ascii="Myriad Pro" w:hAnsi="Myriad Pro"/>
        </w:rPr>
        <w:t xml:space="preserve">; ICE, Disability Access Plan (Aug. 2020), https://www.ice.gov/doclib/about/offices/dcr/iceDisabilityAccessPlan.pdf ; CBP, Equal Opportunity Notice - Section 504 of the Rehabilitation Act of 1973, </w:t>
      </w:r>
      <w:hyperlink r:id="rId13" w:history="1">
        <w:r w:rsidRPr="003A25CE">
          <w:rPr>
            <w:rStyle w:val="Hyperlink"/>
            <w:rFonts w:ascii="Myriad Pro" w:hAnsi="Myriad Pro"/>
          </w:rPr>
          <w:t>https://www.cbp.gov/site-policy-notices/accessibility/equal-opportunity-notice-section-504-rehabilitation-act-1973</w:t>
        </w:r>
      </w:hyperlink>
      <w:r w:rsidRPr="003A25CE">
        <w:rPr>
          <w:rFonts w:ascii="Myriad Pro" w:hAnsi="Myriad Pro"/>
        </w:rPr>
        <w:t xml:space="preserve">; CBP, Disability Access Plan for Public-Facing Programs  and Activities (June 2019), </w:t>
      </w:r>
      <w:hyperlink r:id="rId14" w:history="1">
        <w:r w:rsidRPr="003A25CE">
          <w:rPr>
            <w:rStyle w:val="Hyperlink"/>
            <w:rFonts w:ascii="Myriad Pro" w:hAnsi="Myriad Pro"/>
          </w:rPr>
          <w:t>https://www.dhs.gov/sites/default/files/publications/cbp-disability-access-plan.pdf</w:t>
        </w:r>
      </w:hyperlink>
      <w:r w:rsidRPr="003A25CE">
        <w:rPr>
          <w:rFonts w:ascii="Myriad Pro" w:hAnsi="Myriad Pro"/>
        </w:rPr>
        <w:t xml:space="preserve">. </w:t>
      </w:r>
    </w:p>
  </w:footnote>
  <w:footnote w:id="10">
    <w:p w14:paraId="5CA74749" w14:textId="77777777" w:rsidR="00B46413" w:rsidRPr="003A25CE" w:rsidRDefault="00B46413"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ICE Field Offices, </w:t>
      </w:r>
      <w:hyperlink r:id="rId15" w:history="1">
        <w:r w:rsidRPr="003A25CE">
          <w:rPr>
            <w:rStyle w:val="Hyperlink"/>
            <w:rFonts w:ascii="Myriad Pro" w:hAnsi="Myriad Pro"/>
          </w:rPr>
          <w:t>https://www.ice.gov/contact/field-offices</w:t>
        </w:r>
      </w:hyperlink>
      <w:r w:rsidRPr="003A25CE">
        <w:rPr>
          <w:rFonts w:ascii="Myriad Pro" w:hAnsi="Myriad Pro"/>
        </w:rPr>
        <w:t xml:space="preserve">. </w:t>
      </w:r>
    </w:p>
  </w:footnote>
  <w:footnote w:id="11">
    <w:p w14:paraId="1866B08F" w14:textId="77777777" w:rsidR="00B46413" w:rsidRPr="003A25CE" w:rsidRDefault="00B46413"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w:t>
      </w:r>
      <w:proofErr w:type="spellStart"/>
      <w:r w:rsidRPr="003A25CE">
        <w:rPr>
          <w:rFonts w:ascii="Myriad Pro" w:hAnsi="Myriad Pro"/>
          <w:i/>
          <w:iCs/>
        </w:rPr>
        <w:t>Nat’l</w:t>
      </w:r>
      <w:proofErr w:type="spellEnd"/>
      <w:r w:rsidRPr="003A25CE">
        <w:rPr>
          <w:rFonts w:ascii="Myriad Pro" w:hAnsi="Myriad Pro"/>
          <w:i/>
          <w:iCs/>
        </w:rPr>
        <w:t xml:space="preserve"> </w:t>
      </w:r>
      <w:proofErr w:type="spellStart"/>
      <w:r w:rsidRPr="003A25CE">
        <w:rPr>
          <w:rFonts w:ascii="Myriad Pro" w:hAnsi="Myriad Pro"/>
          <w:i/>
          <w:iCs/>
        </w:rPr>
        <w:t>Ass’n</w:t>
      </w:r>
      <w:proofErr w:type="spellEnd"/>
      <w:r w:rsidRPr="003A25CE">
        <w:rPr>
          <w:rFonts w:ascii="Myriad Pro" w:hAnsi="Myriad Pro"/>
          <w:i/>
          <w:iCs/>
        </w:rPr>
        <w:t xml:space="preserve"> of the Deaf v. Trump</w:t>
      </w:r>
      <w:r w:rsidRPr="003A25CE">
        <w:rPr>
          <w:rFonts w:ascii="Myriad Pro" w:hAnsi="Myriad Pro"/>
        </w:rPr>
        <w:t xml:space="preserve">, 808 F. Supp. 3d 150, 153 (D.D.C. 2025); </w:t>
      </w:r>
      <w:proofErr w:type="spellStart"/>
      <w:r w:rsidRPr="003A25CE">
        <w:rPr>
          <w:rFonts w:ascii="Myriad Pro" w:hAnsi="Myriad Pro"/>
          <w:i/>
          <w:iCs/>
        </w:rPr>
        <w:t>Nat’l</w:t>
      </w:r>
      <w:proofErr w:type="spellEnd"/>
      <w:r w:rsidRPr="003A25CE">
        <w:rPr>
          <w:rFonts w:ascii="Myriad Pro" w:hAnsi="Myriad Pro"/>
          <w:i/>
          <w:iCs/>
        </w:rPr>
        <w:t xml:space="preserve"> </w:t>
      </w:r>
      <w:proofErr w:type="spellStart"/>
      <w:r w:rsidRPr="003A25CE">
        <w:rPr>
          <w:rFonts w:ascii="Myriad Pro" w:hAnsi="Myriad Pro"/>
          <w:i/>
          <w:iCs/>
        </w:rPr>
        <w:t>Ass’n</w:t>
      </w:r>
      <w:proofErr w:type="spellEnd"/>
      <w:r w:rsidRPr="003A25CE">
        <w:rPr>
          <w:rFonts w:ascii="Myriad Pro" w:hAnsi="Myriad Pro"/>
          <w:i/>
          <w:iCs/>
        </w:rPr>
        <w:t xml:space="preserve"> of the Deaf v. Trump</w:t>
      </w:r>
      <w:r w:rsidRPr="003A25CE">
        <w:rPr>
          <w:rFonts w:ascii="Myriad Pro" w:hAnsi="Myriad Pro"/>
        </w:rPr>
        <w:t xml:space="preserve">, 486 F. Supp. 3d 45, 55 (D.D.C. 2020) (collecting cases); </w:t>
      </w:r>
      <w:r w:rsidRPr="003A25CE">
        <w:rPr>
          <w:rFonts w:ascii="Myriad Pro" w:hAnsi="Myriad Pro"/>
          <w:i/>
          <w:iCs/>
        </w:rPr>
        <w:t>Yeh v. United States Bureau of Prisons,</w:t>
      </w:r>
      <w:r w:rsidRPr="003A25CE">
        <w:rPr>
          <w:rFonts w:ascii="Myriad Pro" w:hAnsi="Myriad Pro"/>
        </w:rPr>
        <w:t xml:space="preserve"> No. 3:18cv943, 2019 U.S. Dist. LEXIS 131224, at *9 (M.D. Pa. Aug. 6, 2019); </w:t>
      </w:r>
      <w:r w:rsidRPr="003A25CE">
        <w:rPr>
          <w:rFonts w:ascii="Myriad Pro" w:hAnsi="Myriad Pro"/>
          <w:i/>
          <w:iCs/>
        </w:rPr>
        <w:t>Washington v. Fed. Bureau of Prisons</w:t>
      </w:r>
      <w:r w:rsidRPr="003A25CE">
        <w:rPr>
          <w:rFonts w:ascii="Myriad Pro" w:hAnsi="Myriad Pro"/>
        </w:rPr>
        <w:t xml:space="preserve">, No. 5:16-cv-03913-BHH-KDW, 2019 U.S. Dist. LEXIS 50591, at *24 (D.S.C. Jan. 3, 2019); </w:t>
      </w:r>
      <w:r w:rsidRPr="003A25CE">
        <w:rPr>
          <w:rFonts w:ascii="Myriad Pro" w:hAnsi="Myriad Pro"/>
          <w:i/>
          <w:iCs/>
        </w:rPr>
        <w:t>Sai v. Smith</w:t>
      </w:r>
      <w:r w:rsidRPr="003A25CE">
        <w:rPr>
          <w:rFonts w:ascii="Myriad Pro" w:hAnsi="Myriad Pro"/>
        </w:rPr>
        <w:t xml:space="preserve">, No. 16-cv-01024-JST, 2018 U.S. Dist. LEXIS 11741, at *29 (N.D. Cal. Jan. 24, 2018); </w:t>
      </w:r>
      <w:r w:rsidRPr="003A25CE">
        <w:rPr>
          <w:rFonts w:ascii="Myriad Pro" w:hAnsi="Myriad Pro"/>
          <w:i/>
          <w:iCs/>
        </w:rPr>
        <w:t>Am. Council of the Blind v. Astrue</w:t>
      </w:r>
      <w:r w:rsidRPr="003A25CE">
        <w:rPr>
          <w:rFonts w:ascii="Myriad Pro" w:hAnsi="Myriad Pro"/>
        </w:rPr>
        <w:t xml:space="preserve">, No. C 05-04696 WHA, 2008 U.S. Dist. LEXIS 86524, at *23 (N.D. Cal. Apr. 23, 2008); </w:t>
      </w:r>
      <w:r w:rsidRPr="003A25CE">
        <w:rPr>
          <w:rFonts w:ascii="Myriad Pro" w:hAnsi="Myriad Pro"/>
          <w:i/>
          <w:iCs/>
        </w:rPr>
        <w:t>Davis v. Astrue</w:t>
      </w:r>
      <w:r w:rsidRPr="003A25CE">
        <w:rPr>
          <w:rFonts w:ascii="Myriad Pro" w:hAnsi="Myriad Pro"/>
        </w:rPr>
        <w:t xml:space="preserve">, No. C-06-6108 EMC, 2011 U.S. Dist. LEXIS 92336, at *14 (N.D. Cal. Aug. 18, 2011); </w:t>
      </w:r>
      <w:r w:rsidRPr="003A25CE">
        <w:rPr>
          <w:rFonts w:ascii="Myriad Pro" w:hAnsi="Myriad Pro"/>
          <w:i/>
          <w:iCs/>
        </w:rPr>
        <w:t>Am. Council of the Blind v. Paulson</w:t>
      </w:r>
      <w:r w:rsidRPr="003A25CE">
        <w:rPr>
          <w:rFonts w:ascii="Myriad Pro" w:hAnsi="Myriad Pro"/>
        </w:rPr>
        <w:t xml:space="preserve">, 463 F. Supp. 2d 51, 58 (D.D.C. 2006); </w:t>
      </w:r>
      <w:r w:rsidRPr="003A25CE">
        <w:rPr>
          <w:rFonts w:ascii="Myriad Pro" w:hAnsi="Myriad Pro"/>
          <w:i/>
          <w:iCs/>
        </w:rPr>
        <w:t>see also Mathis v. United States Parole Comm’n</w:t>
      </w:r>
      <w:r w:rsidRPr="003A25CE">
        <w:rPr>
          <w:rFonts w:ascii="Myriad Pro" w:hAnsi="Myriad Pro"/>
        </w:rPr>
        <w:t xml:space="preserve">, 749 F. Supp. 3d 8, 24 (D.D.C. 2024) (allowing private action not under Section 504 but in equity). </w:t>
      </w:r>
    </w:p>
  </w:footnote>
  <w:footnote w:id="12">
    <w:p w14:paraId="36902D26" w14:textId="77777777" w:rsidR="00B46413" w:rsidRPr="003A25CE" w:rsidRDefault="00B46413"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w:t>
      </w:r>
      <w:r w:rsidRPr="003A25CE">
        <w:rPr>
          <w:rFonts w:ascii="Myriad Pro" w:hAnsi="Myriad Pro"/>
          <w:i/>
          <w:iCs/>
        </w:rPr>
        <w:t>Doe v. Spahn</w:t>
      </w:r>
      <w:r w:rsidRPr="003A25CE">
        <w:rPr>
          <w:rFonts w:ascii="Myriad Pro" w:hAnsi="Myriad Pro"/>
        </w:rPr>
        <w:t xml:space="preserve">, Civil Action No. 1: 23-cv-02859 (CJN), 2025 U.S. Dist. LEXIS 86392, at *12 (D.D.C. May 6, 2025) (citing </w:t>
      </w:r>
      <w:r w:rsidRPr="003A25CE">
        <w:rPr>
          <w:rFonts w:ascii="Myriad Pro" w:hAnsi="Myriad Pro"/>
          <w:i/>
          <w:iCs/>
        </w:rPr>
        <w:t>SAI v. Department of Homeland Security</w:t>
      </w:r>
      <w:r w:rsidRPr="003A25CE">
        <w:rPr>
          <w:rFonts w:ascii="Myriad Pro" w:hAnsi="Myriad Pro"/>
        </w:rPr>
        <w:t xml:space="preserve">, 149 F. Supp. 3d 99 (D.D.C. 2015) and </w:t>
      </w:r>
      <w:r w:rsidRPr="003A25CE">
        <w:rPr>
          <w:rFonts w:ascii="Myriad Pro" w:hAnsi="Myriad Pro"/>
          <w:i/>
          <w:iCs/>
        </w:rPr>
        <w:t>Mathis v. United States Parole Commission</w:t>
      </w:r>
      <w:r w:rsidRPr="003A25CE">
        <w:rPr>
          <w:rFonts w:ascii="Myriad Pro" w:hAnsi="Myriad Pro"/>
        </w:rPr>
        <w:t xml:space="preserve">, 749 F. Supp. 3d 8 (D.D.C. 2024)); </w:t>
      </w:r>
      <w:r w:rsidRPr="003A25CE">
        <w:rPr>
          <w:rFonts w:ascii="Myriad Pro" w:hAnsi="Myriad Pro"/>
          <w:i/>
          <w:iCs/>
        </w:rPr>
        <w:t xml:space="preserve">Moya v. United States </w:t>
      </w:r>
      <w:proofErr w:type="spellStart"/>
      <w:r w:rsidRPr="003A25CE">
        <w:rPr>
          <w:rFonts w:ascii="Myriad Pro" w:hAnsi="Myriad Pro"/>
          <w:i/>
          <w:iCs/>
        </w:rPr>
        <w:t>Dep’t</w:t>
      </w:r>
      <w:proofErr w:type="spellEnd"/>
      <w:r w:rsidRPr="003A25CE">
        <w:rPr>
          <w:rFonts w:ascii="Myriad Pro" w:hAnsi="Myriad Pro"/>
          <w:i/>
          <w:iCs/>
        </w:rPr>
        <w:t xml:space="preserve"> of Homeland Sec</w:t>
      </w:r>
      <w:r w:rsidRPr="003A25CE">
        <w:rPr>
          <w:rFonts w:ascii="Myriad Pro" w:hAnsi="Myriad Pro"/>
        </w:rPr>
        <w:t xml:space="preserve">., 975 F.3d 120, 124 (2d Cir. 2020). </w:t>
      </w:r>
    </w:p>
  </w:footnote>
  <w:footnote w:id="13">
    <w:p w14:paraId="619FD06B" w14:textId="7A5213B5" w:rsidR="00BC3621" w:rsidRPr="003A25CE" w:rsidRDefault="00BC3621"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w:t>
      </w:r>
      <w:r w:rsidRPr="003A25CE">
        <w:rPr>
          <w:rFonts w:ascii="Myriad Pro" w:hAnsi="Myriad Pro"/>
          <w:i/>
          <w:iCs/>
        </w:rPr>
        <w:t>Youngers v. LaSalle Corr. Transp. LLC</w:t>
      </w:r>
      <w:r w:rsidRPr="003A25CE">
        <w:rPr>
          <w:rFonts w:ascii="Myriad Pro" w:hAnsi="Myriad Pro"/>
        </w:rPr>
        <w:t>, No. 1:20-cv-00465-WJ-JHR, 2022 U.S. Dist. LEXIS 61371, at *9 (D.N.M. Apr. 1, 2022)</w:t>
      </w:r>
      <w:r w:rsidR="0047363D" w:rsidRPr="003A25CE">
        <w:rPr>
          <w:rFonts w:ascii="Myriad Pro" w:hAnsi="Myriad Pro"/>
        </w:rPr>
        <w:t xml:space="preserve"> (citing </w:t>
      </w:r>
      <w:r w:rsidR="0047363D" w:rsidRPr="003A25CE">
        <w:rPr>
          <w:rFonts w:ascii="Myriad Pro" w:hAnsi="Myriad Pro"/>
          <w:i/>
          <w:iCs/>
        </w:rPr>
        <w:t>DeVargas v. Mason &amp; Hanger-Silas Mason Co</w:t>
      </w:r>
      <w:r w:rsidR="0047363D" w:rsidRPr="003A25CE">
        <w:rPr>
          <w:rFonts w:ascii="Myriad Pro" w:hAnsi="Myriad Pro"/>
        </w:rPr>
        <w:t>., 911 F.2d 1377, 1383 (10th Cir. 1990))</w:t>
      </w:r>
      <w:r w:rsidRPr="003A25CE">
        <w:rPr>
          <w:rFonts w:ascii="Myriad Pro" w:hAnsi="Myriad Pro"/>
        </w:rPr>
        <w:t>.</w:t>
      </w:r>
    </w:p>
  </w:footnote>
  <w:footnote w:id="14">
    <w:p w14:paraId="3B35EDA9" w14:textId="75D20F73" w:rsidR="00B46413" w:rsidRPr="003A25CE" w:rsidRDefault="00B46413"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See 28 C.F.R. § 39.130(b)(1)(ii), (iii); 6 C.F.R. § 15.30(b)(1)(ii), (iii).</w:t>
      </w:r>
    </w:p>
  </w:footnote>
  <w:footnote w:id="15">
    <w:p w14:paraId="68396B17" w14:textId="56F61BF6" w:rsidR="00CA61B0" w:rsidRPr="003A25CE" w:rsidRDefault="00CA61B0"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ICE, National Detention Standards (rev. 202</w:t>
      </w:r>
      <w:r w:rsidR="00827279" w:rsidRPr="003A25CE">
        <w:rPr>
          <w:rFonts w:ascii="Myriad Pro" w:hAnsi="Myriad Pro"/>
        </w:rPr>
        <w:t>6</w:t>
      </w:r>
      <w:r w:rsidRPr="003A25CE">
        <w:rPr>
          <w:rFonts w:ascii="Myriad Pro" w:hAnsi="Myriad Pro"/>
        </w:rPr>
        <w:t>), Standard 4.7, Disability Identification, Assessment, and Accommodation,</w:t>
      </w:r>
      <w:r w:rsidR="00827279" w:rsidRPr="003A25CE">
        <w:rPr>
          <w:rFonts w:ascii="Myriad Pro" w:hAnsi="Myriad Pro"/>
        </w:rPr>
        <w:t xml:space="preserve"> </w:t>
      </w:r>
      <w:hyperlink r:id="rId16" w:history="1">
        <w:r w:rsidR="00827279" w:rsidRPr="003A25CE">
          <w:rPr>
            <w:rStyle w:val="Hyperlink"/>
            <w:rFonts w:ascii="Myriad Pro" w:hAnsi="Myriad Pro"/>
          </w:rPr>
          <w:t>https://www.ice.gov/doclib/detention-standards/2026/nds2026.pdf</w:t>
        </w:r>
      </w:hyperlink>
      <w:r w:rsidR="00827279" w:rsidRPr="003A25CE">
        <w:rPr>
          <w:rFonts w:ascii="Myriad Pro" w:hAnsi="Myriad Pro"/>
        </w:rPr>
        <w:t xml:space="preserve">.  </w:t>
      </w:r>
    </w:p>
  </w:footnote>
  <w:footnote w:id="16">
    <w:p w14:paraId="1CA8FDBC" w14:textId="38D56EA2" w:rsidR="00F7351A" w:rsidRPr="003A25CE" w:rsidRDefault="00F7351A" w:rsidP="00DD4F6D">
      <w:pPr>
        <w:pStyle w:val="FootnoteText"/>
        <w:spacing w:after="80"/>
        <w:rPr>
          <w:rFonts w:ascii="Myriad Pro" w:hAnsi="Myriad Pro"/>
        </w:rPr>
      </w:pPr>
      <w:r w:rsidRPr="003A25CE">
        <w:rPr>
          <w:rStyle w:val="FootnoteReference"/>
          <w:rFonts w:ascii="Myriad Pro" w:hAnsi="Myriad Pro"/>
        </w:rPr>
        <w:footnoteRef/>
      </w:r>
      <w:r w:rsidRPr="003A25CE">
        <w:rPr>
          <w:rFonts w:ascii="Myriad Pro" w:hAnsi="Myriad Pro"/>
        </w:rPr>
        <w:t xml:space="preserve"> </w:t>
      </w:r>
      <w:r w:rsidR="00B53A96" w:rsidRPr="003A25CE">
        <w:rPr>
          <w:rFonts w:ascii="Myriad Pro" w:hAnsi="Myriad Pro"/>
          <w:i/>
          <w:iCs/>
        </w:rPr>
        <w:t>Id.</w:t>
      </w:r>
      <w:r w:rsidR="00B53A96" w:rsidRPr="003A25CE">
        <w:rPr>
          <w:rFonts w:ascii="Myriad Pro" w:hAnsi="Myriad Pro"/>
        </w:rPr>
        <w:t>, at *19 (D.N.M. Apr. 1, 2022);</w:t>
      </w:r>
      <w:r w:rsidR="00B53A96" w:rsidRPr="003A25CE">
        <w:rPr>
          <w:rFonts w:ascii="Myriad Pro" w:hAnsi="Myriad Pro"/>
          <w:i/>
          <w:iCs/>
        </w:rPr>
        <w:t xml:space="preserve"> </w:t>
      </w:r>
      <w:r w:rsidRPr="003A25CE">
        <w:rPr>
          <w:rFonts w:ascii="Myriad Pro" w:hAnsi="Myriad Pro"/>
          <w:i/>
          <w:iCs/>
        </w:rPr>
        <w:t xml:space="preserve">Hernandez v. </w:t>
      </w:r>
      <w:proofErr w:type="spellStart"/>
      <w:r w:rsidRPr="003A25CE">
        <w:rPr>
          <w:rFonts w:ascii="Myriad Pro" w:hAnsi="Myriad Pro"/>
          <w:i/>
          <w:iCs/>
        </w:rPr>
        <w:t>Cty</w:t>
      </w:r>
      <w:proofErr w:type="spellEnd"/>
      <w:r w:rsidRPr="003A25CE">
        <w:rPr>
          <w:rFonts w:ascii="Myriad Pro" w:hAnsi="Myriad Pro"/>
          <w:i/>
          <w:iCs/>
        </w:rPr>
        <w:t>. of Monterey</w:t>
      </w:r>
      <w:r w:rsidRPr="003A25CE">
        <w:rPr>
          <w:rFonts w:ascii="Myriad Pro" w:hAnsi="Myriad Pro"/>
        </w:rPr>
        <w:t xml:space="preserve">, 70 F. Supp. 3d 963, 977 (N.D. Cal. 2014); </w:t>
      </w:r>
      <w:r w:rsidRPr="003A25CE">
        <w:rPr>
          <w:rFonts w:ascii="Myriad Pro" w:hAnsi="Myriad Pro"/>
          <w:i/>
          <w:iCs/>
        </w:rPr>
        <w:t xml:space="preserve">Wilkins-Jones v. </w:t>
      </w:r>
      <w:proofErr w:type="spellStart"/>
      <w:r w:rsidRPr="003A25CE">
        <w:rPr>
          <w:rFonts w:ascii="Myriad Pro" w:hAnsi="Myriad Pro"/>
          <w:i/>
          <w:iCs/>
        </w:rPr>
        <w:t>Cty</w:t>
      </w:r>
      <w:proofErr w:type="spellEnd"/>
      <w:r w:rsidRPr="003A25CE">
        <w:rPr>
          <w:rFonts w:ascii="Myriad Pro" w:hAnsi="Myriad Pro"/>
          <w:i/>
          <w:iCs/>
        </w:rPr>
        <w:t>. of Alameda</w:t>
      </w:r>
      <w:r w:rsidRPr="003A25CE">
        <w:rPr>
          <w:rFonts w:ascii="Myriad Pro" w:hAnsi="Myriad Pro"/>
        </w:rPr>
        <w:t xml:space="preserve">, 859 F. Supp. 2d 1039, 1050 (N.D. Cal. 2012).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8A259C"/>
    <w:multiLevelType w:val="hybridMultilevel"/>
    <w:tmpl w:val="2AFE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C3CBE"/>
    <w:multiLevelType w:val="hybridMultilevel"/>
    <w:tmpl w:val="F0348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50828"/>
    <w:multiLevelType w:val="hybridMultilevel"/>
    <w:tmpl w:val="2296415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 w15:restartNumberingAfterBreak="0">
    <w:nsid w:val="144F427C"/>
    <w:multiLevelType w:val="hybridMultilevel"/>
    <w:tmpl w:val="87D44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F24C97"/>
    <w:multiLevelType w:val="hybridMultilevel"/>
    <w:tmpl w:val="F89E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8445F"/>
    <w:multiLevelType w:val="multilevel"/>
    <w:tmpl w:val="6F6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DE72D3"/>
    <w:multiLevelType w:val="hybridMultilevel"/>
    <w:tmpl w:val="12C20CA0"/>
    <w:lvl w:ilvl="0" w:tplc="F8489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E80075"/>
    <w:multiLevelType w:val="multilevel"/>
    <w:tmpl w:val="18409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F56F05"/>
    <w:multiLevelType w:val="hybridMultilevel"/>
    <w:tmpl w:val="D9C6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E42896"/>
    <w:multiLevelType w:val="hybridMultilevel"/>
    <w:tmpl w:val="6FE2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34537"/>
    <w:multiLevelType w:val="hybridMultilevel"/>
    <w:tmpl w:val="411C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10DB6"/>
    <w:multiLevelType w:val="hybridMultilevel"/>
    <w:tmpl w:val="47480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5C22AA7"/>
    <w:multiLevelType w:val="hybridMultilevel"/>
    <w:tmpl w:val="F3882BE0"/>
    <w:lvl w:ilvl="0" w:tplc="8F60BEB8">
      <w:start w:val="1"/>
      <w:numFmt w:val="bullet"/>
      <w:pStyle w:val="Heading2"/>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6603EFC"/>
    <w:multiLevelType w:val="hybridMultilevel"/>
    <w:tmpl w:val="30C0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F872A5"/>
    <w:multiLevelType w:val="hybridMultilevel"/>
    <w:tmpl w:val="DFC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8E0972"/>
    <w:multiLevelType w:val="hybridMultilevel"/>
    <w:tmpl w:val="13F6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351478">
    <w:abstractNumId w:val="7"/>
  </w:num>
  <w:num w:numId="2" w16cid:durableId="50427291">
    <w:abstractNumId w:val="15"/>
  </w:num>
  <w:num w:numId="3" w16cid:durableId="1002901663">
    <w:abstractNumId w:val="10"/>
  </w:num>
  <w:num w:numId="4" w16cid:durableId="1845971515">
    <w:abstractNumId w:val="1"/>
  </w:num>
  <w:num w:numId="5" w16cid:durableId="811560225">
    <w:abstractNumId w:val="5"/>
  </w:num>
  <w:num w:numId="6" w16cid:durableId="305815423">
    <w:abstractNumId w:val="9"/>
  </w:num>
  <w:num w:numId="7" w16cid:durableId="1169367382">
    <w:abstractNumId w:val="0"/>
  </w:num>
  <w:num w:numId="8" w16cid:durableId="1719164520">
    <w:abstractNumId w:val="2"/>
  </w:num>
  <w:num w:numId="9" w16cid:durableId="882593293">
    <w:abstractNumId w:val="3"/>
  </w:num>
  <w:num w:numId="10" w16cid:durableId="1233202325">
    <w:abstractNumId w:val="6"/>
  </w:num>
  <w:num w:numId="11" w16cid:durableId="217471856">
    <w:abstractNumId w:val="4"/>
  </w:num>
  <w:num w:numId="12" w16cid:durableId="1107122697">
    <w:abstractNumId w:val="8"/>
  </w:num>
  <w:num w:numId="13" w16cid:durableId="785853107">
    <w:abstractNumId w:val="12"/>
  </w:num>
  <w:num w:numId="14" w16cid:durableId="1674606222">
    <w:abstractNumId w:val="13"/>
  </w:num>
  <w:num w:numId="15" w16cid:durableId="1015380752">
    <w:abstractNumId w:val="14"/>
  </w:num>
  <w:num w:numId="16" w16cid:durableId="1354578088">
    <w:abstractNumId w:val="1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77"/>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B5C"/>
    <w:rsid w:val="00000E0C"/>
    <w:rsid w:val="0000257F"/>
    <w:rsid w:val="000121C8"/>
    <w:rsid w:val="00021963"/>
    <w:rsid w:val="00022962"/>
    <w:rsid w:val="00023966"/>
    <w:rsid w:val="00023C29"/>
    <w:rsid w:val="00026BBD"/>
    <w:rsid w:val="000370EB"/>
    <w:rsid w:val="00041A13"/>
    <w:rsid w:val="000473F4"/>
    <w:rsid w:val="00064071"/>
    <w:rsid w:val="000955EF"/>
    <w:rsid w:val="000A02E4"/>
    <w:rsid w:val="000B5726"/>
    <w:rsid w:val="000D4663"/>
    <w:rsid w:val="000E357D"/>
    <w:rsid w:val="000E7ACB"/>
    <w:rsid w:val="000F5AFE"/>
    <w:rsid w:val="00103A16"/>
    <w:rsid w:val="00104BB3"/>
    <w:rsid w:val="00111C33"/>
    <w:rsid w:val="00124272"/>
    <w:rsid w:val="001255AA"/>
    <w:rsid w:val="00134A44"/>
    <w:rsid w:val="001471C8"/>
    <w:rsid w:val="0016797A"/>
    <w:rsid w:val="001864F3"/>
    <w:rsid w:val="00190919"/>
    <w:rsid w:val="00193F62"/>
    <w:rsid w:val="001B35DA"/>
    <w:rsid w:val="001B3CD5"/>
    <w:rsid w:val="001B4F81"/>
    <w:rsid w:val="001C5E0B"/>
    <w:rsid w:val="001C7FD1"/>
    <w:rsid w:val="001D7315"/>
    <w:rsid w:val="001E6153"/>
    <w:rsid w:val="001F5495"/>
    <w:rsid w:val="00205475"/>
    <w:rsid w:val="00210406"/>
    <w:rsid w:val="00222ED4"/>
    <w:rsid w:val="002237DF"/>
    <w:rsid w:val="002247B6"/>
    <w:rsid w:val="002259A3"/>
    <w:rsid w:val="00232C58"/>
    <w:rsid w:val="00251304"/>
    <w:rsid w:val="00254C0C"/>
    <w:rsid w:val="00264DB0"/>
    <w:rsid w:val="00272869"/>
    <w:rsid w:val="002856DF"/>
    <w:rsid w:val="0029392B"/>
    <w:rsid w:val="00296956"/>
    <w:rsid w:val="002A1C9F"/>
    <w:rsid w:val="002A542D"/>
    <w:rsid w:val="002A647C"/>
    <w:rsid w:val="002B4C89"/>
    <w:rsid w:val="002B75F0"/>
    <w:rsid w:val="002B7C50"/>
    <w:rsid w:val="002C3A18"/>
    <w:rsid w:val="002D0069"/>
    <w:rsid w:val="002D6256"/>
    <w:rsid w:val="002D7BFD"/>
    <w:rsid w:val="00302358"/>
    <w:rsid w:val="00305F85"/>
    <w:rsid w:val="00316797"/>
    <w:rsid w:val="003173C4"/>
    <w:rsid w:val="003247DC"/>
    <w:rsid w:val="00335B0B"/>
    <w:rsid w:val="003376D0"/>
    <w:rsid w:val="003478C0"/>
    <w:rsid w:val="00353197"/>
    <w:rsid w:val="00380D24"/>
    <w:rsid w:val="003A23EF"/>
    <w:rsid w:val="003A25CE"/>
    <w:rsid w:val="003A53C6"/>
    <w:rsid w:val="003E59A4"/>
    <w:rsid w:val="00400E5F"/>
    <w:rsid w:val="00401085"/>
    <w:rsid w:val="00425BDA"/>
    <w:rsid w:val="00426540"/>
    <w:rsid w:val="00433C37"/>
    <w:rsid w:val="004415C5"/>
    <w:rsid w:val="00441914"/>
    <w:rsid w:val="00453316"/>
    <w:rsid w:val="00470E6A"/>
    <w:rsid w:val="0047363D"/>
    <w:rsid w:val="00477A24"/>
    <w:rsid w:val="00486E99"/>
    <w:rsid w:val="00490CAB"/>
    <w:rsid w:val="004928CD"/>
    <w:rsid w:val="004A1635"/>
    <w:rsid w:val="004C1444"/>
    <w:rsid w:val="004C38DF"/>
    <w:rsid w:val="004D1769"/>
    <w:rsid w:val="004D65EA"/>
    <w:rsid w:val="004D7104"/>
    <w:rsid w:val="004E50B4"/>
    <w:rsid w:val="004F266A"/>
    <w:rsid w:val="004F6A20"/>
    <w:rsid w:val="00522D59"/>
    <w:rsid w:val="00531F3B"/>
    <w:rsid w:val="0055044D"/>
    <w:rsid w:val="005547E8"/>
    <w:rsid w:val="00562563"/>
    <w:rsid w:val="00563913"/>
    <w:rsid w:val="00564BF8"/>
    <w:rsid w:val="005815D0"/>
    <w:rsid w:val="005838B6"/>
    <w:rsid w:val="0059068E"/>
    <w:rsid w:val="00594647"/>
    <w:rsid w:val="00596685"/>
    <w:rsid w:val="005966D5"/>
    <w:rsid w:val="005A18C4"/>
    <w:rsid w:val="005B424B"/>
    <w:rsid w:val="005B58BA"/>
    <w:rsid w:val="005B6151"/>
    <w:rsid w:val="005D5D41"/>
    <w:rsid w:val="00600F90"/>
    <w:rsid w:val="00601EF5"/>
    <w:rsid w:val="0060349D"/>
    <w:rsid w:val="00610C2B"/>
    <w:rsid w:val="00616C42"/>
    <w:rsid w:val="00624E32"/>
    <w:rsid w:val="00626219"/>
    <w:rsid w:val="0064067D"/>
    <w:rsid w:val="00644F4D"/>
    <w:rsid w:val="00651090"/>
    <w:rsid w:val="00653951"/>
    <w:rsid w:val="006546D7"/>
    <w:rsid w:val="0065615C"/>
    <w:rsid w:val="00663C8D"/>
    <w:rsid w:val="006822BA"/>
    <w:rsid w:val="0068544D"/>
    <w:rsid w:val="006872B2"/>
    <w:rsid w:val="006B3152"/>
    <w:rsid w:val="006E12BF"/>
    <w:rsid w:val="006F5F0C"/>
    <w:rsid w:val="00703E0E"/>
    <w:rsid w:val="00716C9B"/>
    <w:rsid w:val="00723369"/>
    <w:rsid w:val="007261A1"/>
    <w:rsid w:val="0075090A"/>
    <w:rsid w:val="007707C7"/>
    <w:rsid w:val="00773398"/>
    <w:rsid w:val="00783FC7"/>
    <w:rsid w:val="00787BE8"/>
    <w:rsid w:val="00791EBB"/>
    <w:rsid w:val="007970D7"/>
    <w:rsid w:val="007A3446"/>
    <w:rsid w:val="007B0202"/>
    <w:rsid w:val="007B3099"/>
    <w:rsid w:val="007C2B76"/>
    <w:rsid w:val="007D15D2"/>
    <w:rsid w:val="007E7430"/>
    <w:rsid w:val="007F3B04"/>
    <w:rsid w:val="0080208E"/>
    <w:rsid w:val="00804CBE"/>
    <w:rsid w:val="00812AA7"/>
    <w:rsid w:val="00816611"/>
    <w:rsid w:val="008264AA"/>
    <w:rsid w:val="00827279"/>
    <w:rsid w:val="008275BE"/>
    <w:rsid w:val="008422BC"/>
    <w:rsid w:val="00857B64"/>
    <w:rsid w:val="0087238D"/>
    <w:rsid w:val="00874714"/>
    <w:rsid w:val="008806CE"/>
    <w:rsid w:val="0089073C"/>
    <w:rsid w:val="008A54E4"/>
    <w:rsid w:val="008A6CA6"/>
    <w:rsid w:val="008C4A85"/>
    <w:rsid w:val="008C7A4D"/>
    <w:rsid w:val="008E27D8"/>
    <w:rsid w:val="008F03C0"/>
    <w:rsid w:val="008F1ED2"/>
    <w:rsid w:val="008F3708"/>
    <w:rsid w:val="008F5541"/>
    <w:rsid w:val="00901846"/>
    <w:rsid w:val="00912504"/>
    <w:rsid w:val="00913C48"/>
    <w:rsid w:val="009171BE"/>
    <w:rsid w:val="00920D58"/>
    <w:rsid w:val="00920D95"/>
    <w:rsid w:val="00921C6C"/>
    <w:rsid w:val="009267FE"/>
    <w:rsid w:val="0094600F"/>
    <w:rsid w:val="00970D85"/>
    <w:rsid w:val="00977433"/>
    <w:rsid w:val="00983B0B"/>
    <w:rsid w:val="009B111C"/>
    <w:rsid w:val="009B4062"/>
    <w:rsid w:val="009B4CD8"/>
    <w:rsid w:val="009B513C"/>
    <w:rsid w:val="009C76C3"/>
    <w:rsid w:val="009E44DE"/>
    <w:rsid w:val="009E46AA"/>
    <w:rsid w:val="009E6005"/>
    <w:rsid w:val="009F2665"/>
    <w:rsid w:val="009F5FAC"/>
    <w:rsid w:val="00A04B47"/>
    <w:rsid w:val="00A05441"/>
    <w:rsid w:val="00A11452"/>
    <w:rsid w:val="00A15016"/>
    <w:rsid w:val="00A2418E"/>
    <w:rsid w:val="00A34788"/>
    <w:rsid w:val="00A41E8C"/>
    <w:rsid w:val="00A5700D"/>
    <w:rsid w:val="00A6173E"/>
    <w:rsid w:val="00A61889"/>
    <w:rsid w:val="00A65486"/>
    <w:rsid w:val="00A70C3D"/>
    <w:rsid w:val="00A76108"/>
    <w:rsid w:val="00A8722E"/>
    <w:rsid w:val="00A90510"/>
    <w:rsid w:val="00A94A0A"/>
    <w:rsid w:val="00A9635C"/>
    <w:rsid w:val="00A9791D"/>
    <w:rsid w:val="00AA0822"/>
    <w:rsid w:val="00AA3F44"/>
    <w:rsid w:val="00AB2493"/>
    <w:rsid w:val="00AB5147"/>
    <w:rsid w:val="00AB6E61"/>
    <w:rsid w:val="00AC4697"/>
    <w:rsid w:val="00AD42B8"/>
    <w:rsid w:val="00AD791D"/>
    <w:rsid w:val="00AE188B"/>
    <w:rsid w:val="00AE5583"/>
    <w:rsid w:val="00AF0DDF"/>
    <w:rsid w:val="00B11B84"/>
    <w:rsid w:val="00B41317"/>
    <w:rsid w:val="00B46413"/>
    <w:rsid w:val="00B46BC5"/>
    <w:rsid w:val="00B50513"/>
    <w:rsid w:val="00B53A96"/>
    <w:rsid w:val="00B53BE2"/>
    <w:rsid w:val="00B603C0"/>
    <w:rsid w:val="00B73191"/>
    <w:rsid w:val="00B90206"/>
    <w:rsid w:val="00B9172D"/>
    <w:rsid w:val="00B960CC"/>
    <w:rsid w:val="00B96796"/>
    <w:rsid w:val="00BA4633"/>
    <w:rsid w:val="00BA746B"/>
    <w:rsid w:val="00BB2AEC"/>
    <w:rsid w:val="00BC1E78"/>
    <w:rsid w:val="00BC3621"/>
    <w:rsid w:val="00BC5C5B"/>
    <w:rsid w:val="00BF0C19"/>
    <w:rsid w:val="00BF13BF"/>
    <w:rsid w:val="00BF517E"/>
    <w:rsid w:val="00BF52D3"/>
    <w:rsid w:val="00C11115"/>
    <w:rsid w:val="00C2684B"/>
    <w:rsid w:val="00C3601A"/>
    <w:rsid w:val="00C46170"/>
    <w:rsid w:val="00C5385C"/>
    <w:rsid w:val="00C551C7"/>
    <w:rsid w:val="00C571A0"/>
    <w:rsid w:val="00C71EA2"/>
    <w:rsid w:val="00C748AE"/>
    <w:rsid w:val="00C8631D"/>
    <w:rsid w:val="00C93C34"/>
    <w:rsid w:val="00CA61B0"/>
    <w:rsid w:val="00CB1FE8"/>
    <w:rsid w:val="00CC245D"/>
    <w:rsid w:val="00CC3863"/>
    <w:rsid w:val="00CD3B79"/>
    <w:rsid w:val="00CD3FC8"/>
    <w:rsid w:val="00CE1563"/>
    <w:rsid w:val="00CE3D69"/>
    <w:rsid w:val="00CF32DB"/>
    <w:rsid w:val="00D108B9"/>
    <w:rsid w:val="00D1688B"/>
    <w:rsid w:val="00D17D52"/>
    <w:rsid w:val="00D37A50"/>
    <w:rsid w:val="00D52AEB"/>
    <w:rsid w:val="00D66EE4"/>
    <w:rsid w:val="00D71FA8"/>
    <w:rsid w:val="00DA21B8"/>
    <w:rsid w:val="00DB17B5"/>
    <w:rsid w:val="00DB5684"/>
    <w:rsid w:val="00DD0A84"/>
    <w:rsid w:val="00DD4F6D"/>
    <w:rsid w:val="00DD72A9"/>
    <w:rsid w:val="00DD7CB7"/>
    <w:rsid w:val="00DE2AE7"/>
    <w:rsid w:val="00DE3E77"/>
    <w:rsid w:val="00DE6E39"/>
    <w:rsid w:val="00DF303F"/>
    <w:rsid w:val="00DF7E66"/>
    <w:rsid w:val="00E119B2"/>
    <w:rsid w:val="00E12FB6"/>
    <w:rsid w:val="00E138BB"/>
    <w:rsid w:val="00E156A8"/>
    <w:rsid w:val="00E16BBC"/>
    <w:rsid w:val="00E22AEE"/>
    <w:rsid w:val="00E3749E"/>
    <w:rsid w:val="00E42E1E"/>
    <w:rsid w:val="00E45569"/>
    <w:rsid w:val="00E5016D"/>
    <w:rsid w:val="00E5077F"/>
    <w:rsid w:val="00E56B5C"/>
    <w:rsid w:val="00E61DBA"/>
    <w:rsid w:val="00E624C9"/>
    <w:rsid w:val="00E631BC"/>
    <w:rsid w:val="00E63C01"/>
    <w:rsid w:val="00E818A0"/>
    <w:rsid w:val="00EB2730"/>
    <w:rsid w:val="00EC26F1"/>
    <w:rsid w:val="00ED58E2"/>
    <w:rsid w:val="00EF6459"/>
    <w:rsid w:val="00F06B26"/>
    <w:rsid w:val="00F07995"/>
    <w:rsid w:val="00F07BE8"/>
    <w:rsid w:val="00F204A6"/>
    <w:rsid w:val="00F26778"/>
    <w:rsid w:val="00F30383"/>
    <w:rsid w:val="00F42C7C"/>
    <w:rsid w:val="00F45169"/>
    <w:rsid w:val="00F56385"/>
    <w:rsid w:val="00F57A07"/>
    <w:rsid w:val="00F662FD"/>
    <w:rsid w:val="00F7351A"/>
    <w:rsid w:val="00F81BD3"/>
    <w:rsid w:val="00F87FA0"/>
    <w:rsid w:val="00F94E12"/>
    <w:rsid w:val="00FB64D0"/>
    <w:rsid w:val="00FC29ED"/>
    <w:rsid w:val="00FC4003"/>
    <w:rsid w:val="00FC5145"/>
    <w:rsid w:val="00FD1F73"/>
    <w:rsid w:val="00FD3913"/>
    <w:rsid w:val="00FE7CFE"/>
    <w:rsid w:val="00FF5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469A0"/>
  <w15:docId w15:val="{8D63E86E-6023-48CC-B0D9-A82AFE17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090"/>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rsid w:val="00425BDA"/>
    <w:pPr>
      <w:spacing w:after="120" w:line="264" w:lineRule="auto"/>
      <w:outlineLvl w:val="0"/>
    </w:pPr>
    <w:rPr>
      <w:rFonts w:ascii="Myriad Pro" w:hAnsi="Myriad Pro"/>
      <w:b/>
      <w:bCs/>
      <w:sz w:val="32"/>
      <w:szCs w:val="32"/>
    </w:rPr>
  </w:style>
  <w:style w:type="paragraph" w:styleId="Heading2">
    <w:name w:val="heading 2"/>
    <w:basedOn w:val="ListParagraph"/>
    <w:next w:val="Normal"/>
    <w:uiPriority w:val="9"/>
    <w:unhideWhenUsed/>
    <w:qFormat/>
    <w:rsid w:val="00F30383"/>
    <w:pPr>
      <w:widowControl w:val="0"/>
      <w:numPr>
        <w:numId w:val="13"/>
      </w:numPr>
      <w:spacing w:before="160" w:after="160" w:line="240" w:lineRule="auto"/>
      <w:outlineLvl w:val="1"/>
    </w:pPr>
    <w:rPr>
      <w:rFonts w:ascii="Myriad Pro" w:hAnsi="Myriad Pro"/>
      <w:b/>
      <w:bCs/>
      <w:sz w:val="28"/>
      <w:szCs w:val="28"/>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iCs/>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425BDA"/>
    <w:pPr>
      <w:spacing w:after="80"/>
      <w:jc w:val="center"/>
    </w:pPr>
    <w:rPr>
      <w:rFonts w:ascii="Myriad Pro" w:hAnsi="Myriad Pro"/>
      <w:b/>
      <w:bCs/>
      <w:sz w:val="28"/>
      <w:szCs w:val="28"/>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ListParagraph">
    <w:name w:val="List Paragraph"/>
    <w:basedOn w:val="Normal"/>
    <w:uiPriority w:val="34"/>
    <w:qFormat/>
    <w:rsid w:val="007C2B76"/>
    <w:pPr>
      <w:spacing w:line="276" w:lineRule="auto"/>
      <w:ind w:left="720"/>
      <w:contextualSpacing/>
    </w:pPr>
    <w:rPr>
      <w:rFonts w:ascii="Arial" w:eastAsia="Arial" w:hAnsi="Arial" w:cs="Arial"/>
      <w:sz w:val="22"/>
      <w:szCs w:val="22"/>
      <w:lang w:val="en"/>
    </w:rPr>
  </w:style>
  <w:style w:type="paragraph" w:styleId="Header">
    <w:name w:val="header"/>
    <w:basedOn w:val="Normal"/>
    <w:link w:val="HeaderChar"/>
    <w:uiPriority w:val="99"/>
    <w:unhideWhenUsed/>
    <w:rsid w:val="008A6CA6"/>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8A6CA6"/>
  </w:style>
  <w:style w:type="paragraph" w:styleId="Footer">
    <w:name w:val="footer"/>
    <w:basedOn w:val="Normal"/>
    <w:link w:val="FooterChar"/>
    <w:uiPriority w:val="99"/>
    <w:unhideWhenUsed/>
    <w:rsid w:val="008A6CA6"/>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8A6CA6"/>
  </w:style>
  <w:style w:type="character" w:styleId="PageNumber">
    <w:name w:val="page number"/>
    <w:basedOn w:val="DefaultParagraphFont"/>
    <w:uiPriority w:val="99"/>
    <w:semiHidden/>
    <w:unhideWhenUsed/>
    <w:rsid w:val="008A6CA6"/>
  </w:style>
  <w:style w:type="paragraph" w:styleId="Revision">
    <w:name w:val="Revision"/>
    <w:hidden/>
    <w:uiPriority w:val="99"/>
    <w:semiHidden/>
    <w:rsid w:val="00B11B84"/>
    <w:pPr>
      <w:spacing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11B84"/>
    <w:rPr>
      <w:sz w:val="16"/>
      <w:szCs w:val="16"/>
    </w:rPr>
  </w:style>
  <w:style w:type="paragraph" w:styleId="CommentText">
    <w:name w:val="annotation text"/>
    <w:basedOn w:val="Normal"/>
    <w:link w:val="CommentTextChar"/>
    <w:uiPriority w:val="99"/>
    <w:unhideWhenUsed/>
    <w:rsid w:val="00B11B84"/>
    <w:rPr>
      <w:sz w:val="20"/>
      <w:szCs w:val="20"/>
    </w:rPr>
  </w:style>
  <w:style w:type="character" w:customStyle="1" w:styleId="CommentTextChar">
    <w:name w:val="Comment Text Char"/>
    <w:basedOn w:val="DefaultParagraphFont"/>
    <w:link w:val="CommentText"/>
    <w:uiPriority w:val="99"/>
    <w:rsid w:val="00B11B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11B84"/>
    <w:rPr>
      <w:b/>
      <w:bCs/>
    </w:rPr>
  </w:style>
  <w:style w:type="character" w:customStyle="1" w:styleId="CommentSubjectChar">
    <w:name w:val="Comment Subject Char"/>
    <w:basedOn w:val="CommentTextChar"/>
    <w:link w:val="CommentSubject"/>
    <w:uiPriority w:val="99"/>
    <w:semiHidden/>
    <w:rsid w:val="00B11B84"/>
    <w:rPr>
      <w:rFonts w:ascii="Times New Roman" w:eastAsia="Times New Roman" w:hAnsi="Times New Roman" w:cs="Times New Roman"/>
      <w:b/>
      <w:bCs/>
      <w:sz w:val="20"/>
      <w:szCs w:val="20"/>
      <w:lang w:val="en-US"/>
    </w:rPr>
  </w:style>
  <w:style w:type="character" w:styleId="Hyperlink">
    <w:name w:val="Hyperlink"/>
    <w:basedOn w:val="DefaultParagraphFont"/>
    <w:uiPriority w:val="99"/>
    <w:unhideWhenUsed/>
    <w:rsid w:val="004D65EA"/>
    <w:rPr>
      <w:color w:val="0000FF" w:themeColor="hyperlink"/>
      <w:u w:val="single"/>
    </w:rPr>
  </w:style>
  <w:style w:type="paragraph" w:styleId="FootnoteText">
    <w:name w:val="footnote text"/>
    <w:basedOn w:val="Normal"/>
    <w:link w:val="FootnoteTextChar"/>
    <w:uiPriority w:val="99"/>
    <w:unhideWhenUsed/>
    <w:rsid w:val="00103A16"/>
    <w:rPr>
      <w:sz w:val="20"/>
      <w:szCs w:val="20"/>
    </w:rPr>
  </w:style>
  <w:style w:type="character" w:customStyle="1" w:styleId="FootnoteTextChar">
    <w:name w:val="Footnote Text Char"/>
    <w:basedOn w:val="DefaultParagraphFont"/>
    <w:link w:val="FootnoteText"/>
    <w:uiPriority w:val="99"/>
    <w:rsid w:val="00103A16"/>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103A16"/>
    <w:rPr>
      <w:vertAlign w:val="superscript"/>
    </w:rPr>
  </w:style>
  <w:style w:type="character" w:styleId="UnresolvedMention">
    <w:name w:val="Unresolved Mention"/>
    <w:basedOn w:val="DefaultParagraphFont"/>
    <w:uiPriority w:val="99"/>
    <w:semiHidden/>
    <w:unhideWhenUsed/>
    <w:rsid w:val="00562563"/>
    <w:rPr>
      <w:color w:val="605E5C"/>
      <w:shd w:val="clear" w:color="auto" w:fill="E1DFDD"/>
    </w:rPr>
  </w:style>
  <w:style w:type="character" w:styleId="FollowedHyperlink">
    <w:name w:val="FollowedHyperlink"/>
    <w:basedOn w:val="DefaultParagraphFont"/>
    <w:uiPriority w:val="99"/>
    <w:semiHidden/>
    <w:unhideWhenUsed/>
    <w:rsid w:val="00E63C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caciajustice.org/wp-content/uploads/2023/12/2023-10-30-NQRP-Practice-Advisory-Procedural-Safeguards-and-Section-504-FINAL-updated-10-2023.pdf" TargetMode="External"/><Relationship Id="rId18" Type="http://schemas.openxmlformats.org/officeDocument/2006/relationships/hyperlink" Target="https://www.cliniclegal.org/file-download/download/public/375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edf.org/kyr-ras-immigration-procedures-and-proceedings/" TargetMode="External"/><Relationship Id="rId17" Type="http://schemas.openxmlformats.org/officeDocument/2006/relationships/hyperlink" Target="https://www.nilc.org/resources/advocating-on-behalf-of-patients-in-ice-custody-a-resource-for-healthcare-providers/" TargetMode="External"/><Relationship Id="rId2" Type="http://schemas.openxmlformats.org/officeDocument/2006/relationships/numbering" Target="numbering.xml"/><Relationship Id="rId16" Type="http://schemas.openxmlformats.org/officeDocument/2006/relationships/hyperlink" Target="https://www.ilrc.org/sites/default/files/resources/new_foia_dhs_practice_advisory_-_2021_0.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edf.org/faqs-disability-immigration-and-encounters-with-ice/" TargetMode="External"/><Relationship Id="rId5" Type="http://schemas.openxmlformats.org/officeDocument/2006/relationships/webSettings" Target="webSettings.xml"/><Relationship Id="rId15" Type="http://schemas.openxmlformats.org/officeDocument/2006/relationships/hyperlink" Target="https://www.americanimmigrationcouncil.org/practice-advisory/nightingale-v-uscis-and-foia-requests-immigration-case-files-files/" TargetMode="External"/><Relationship Id="rId10" Type="http://schemas.openxmlformats.org/officeDocument/2006/relationships/hyperlink" Target="mailto:info@dredf.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cholarlycommons.law.northwestern.edu/nulr/vol119/iss3/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ce.gov/doclib/detention-standards/2025/nds2025.pdf" TargetMode="External"/><Relationship Id="rId13" Type="http://schemas.openxmlformats.org/officeDocument/2006/relationships/hyperlink" Target="https://www.cbp.gov/site-policy-notices/accessibility/equal-opportunity-notice-section-504-rehabilitation-act-1973" TargetMode="External"/><Relationship Id="rId3" Type="http://schemas.openxmlformats.org/officeDocument/2006/relationships/hyperlink" Target="https://humanrightsfirst.org/library/representing-asylum-seekers-with-disabilities-relevant-law/" TargetMode="External"/><Relationship Id="rId7" Type="http://schemas.openxmlformats.org/officeDocument/2006/relationships/hyperlink" Target="https://www.dhs.gov/sites/default/files/publications/dhs-instruction-nondiscrimination-individuals-disabilities_03-07-15.pdf" TargetMode="External"/><Relationship Id="rId12" Type="http://schemas.openxmlformats.org/officeDocument/2006/relationships/hyperlink" Target="https://www.aila.org/library/ice-policy-6000-assessment-and-accommodations-for-detainees-with-disabilities" TargetMode="External"/><Relationship Id="rId2" Type="http://schemas.openxmlformats.org/officeDocument/2006/relationships/hyperlink" Target="https://www.disabilityrightsca.org/drc-advocacy/investigations/inside-the-adelanto-ice-processing-center" TargetMode="External"/><Relationship Id="rId16" Type="http://schemas.openxmlformats.org/officeDocument/2006/relationships/hyperlink" Target="https://www.ice.gov/doclib/detention-standards/2026/nds2026.pdf" TargetMode="External"/><Relationship Id="rId1" Type="http://schemas.openxmlformats.org/officeDocument/2006/relationships/hyperlink" Target="https://www.sciencedirect.com/science/article/pii/S2666623525000017" TargetMode="External"/><Relationship Id="rId6" Type="http://schemas.openxmlformats.org/officeDocument/2006/relationships/hyperlink" Target="https://www.dhs.gov/sites/default/files/publications/dhs-management-directive-disability-access_0_0.pdf" TargetMode="External"/><Relationship Id="rId11" Type="http://schemas.openxmlformats.org/officeDocument/2006/relationships/hyperlink" Target="https://www.uscis.gov/about-us/disability-accommodations-for-the-public" TargetMode="External"/><Relationship Id="rId5" Type="http://schemas.openxmlformats.org/officeDocument/2006/relationships/hyperlink" Target="https://www.dhs.gov/sites/default/files/publications/disability-guide-component-self-evaluation.pdf" TargetMode="External"/><Relationship Id="rId15" Type="http://schemas.openxmlformats.org/officeDocument/2006/relationships/hyperlink" Target="https://www.ice.gov/contact/field-offices" TargetMode="External"/><Relationship Id="rId10" Type="http://schemas.openxmlformats.org/officeDocument/2006/relationships/hyperlink" Target="https://www.justice.gov/sites/default/files/olc/legacy/2013/07/26/op-olc-26.pdf" TargetMode="External"/><Relationship Id="rId4" Type="http://schemas.openxmlformats.org/officeDocument/2006/relationships/hyperlink" Target="https://www.verywellmind.com/immigration-trauma-6745707" TargetMode="External"/><Relationship Id="rId9" Type="http://schemas.openxmlformats.org/officeDocument/2006/relationships/hyperlink" Target="https://www.nilc.org/resources/public-charge-what-advocates-need-to-know-about-the-november-2025-proposed-rule/" TargetMode="External"/><Relationship Id="rId14" Type="http://schemas.openxmlformats.org/officeDocument/2006/relationships/hyperlink" Target="https://www.dhs.gov/sites/default/files/publications/cbp-disability-access-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F0FC2-56DC-0549-9A4B-61C338955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4063</Words>
  <Characters>24175</Characters>
  <Application>Microsoft Office Word</Application>
  <DocSecurity>0</DocSecurity>
  <Lines>383</Lines>
  <Paragraphs>104</Paragraphs>
  <ScaleCrop>false</ScaleCrop>
  <HeadingPairs>
    <vt:vector size="2" baseType="variant">
      <vt:variant>
        <vt:lpstr>Title</vt:lpstr>
      </vt:variant>
      <vt:variant>
        <vt:i4>1</vt:i4>
      </vt:variant>
    </vt:vector>
  </HeadingPairs>
  <TitlesOfParts>
    <vt:vector size="1" baseType="lpstr">
      <vt:lpstr>How Does Section 504 of the Rehabilitation Act Apply to Immigration? An Overview</vt:lpstr>
    </vt:vector>
  </TitlesOfParts>
  <Manager/>
  <Company/>
  <LinksUpToDate>false</LinksUpToDate>
  <CharactersWithSpaces>28134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Does Section 504 of the Rehabilitation Act Apply to Immigration? An Overview</dc:title>
  <dc:subject/>
  <dc:creator>Disability Rights Education &amp; Defense Fund</dc:creator>
  <cp:keywords/>
  <dc:description/>
  <cp:lastModifiedBy>Tina Pinedo</cp:lastModifiedBy>
  <cp:revision>3</cp:revision>
  <cp:lastPrinted>2026-07-11T18:55:00Z</cp:lastPrinted>
  <dcterms:created xsi:type="dcterms:W3CDTF">2026-07-11T18:55:00Z</dcterms:created>
  <dcterms:modified xsi:type="dcterms:W3CDTF">2026-07-11T19:11:00Z</dcterms:modified>
  <cp:category/>
</cp:coreProperties>
</file>