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3154BCA" w14:textId="7565356B" w:rsidR="00B960CC" w:rsidRPr="005C1B1A" w:rsidRDefault="000327B9" w:rsidP="00483965">
      <w:pPr>
        <w:pStyle w:val="Title"/>
        <w:jc w:val="left"/>
        <w:rPr>
          <w:lang w:val="es-ES_tradnl"/>
        </w:rPr>
        <w:sectPr w:rsidR="00B960CC" w:rsidRPr="005C1B1A" w:rsidSect="00B960CC">
          <w:footerReference w:type="default" r:id="rId8"/>
          <w:pgSz w:w="12226" w:h="15840"/>
          <w:pgMar w:top="0" w:right="0" w:bottom="0" w:left="0" w:header="576" w:footer="576" w:gutter="0"/>
          <w:pgNumType w:start="1"/>
          <w:cols w:space="720"/>
          <w:docGrid w:linePitch="326"/>
        </w:sectPr>
      </w:pPr>
      <w:r>
        <w:rPr>
          <w:noProof/>
          <w:lang w:val="es-ES_tradnl"/>
        </w:rPr>
        <w:drawing>
          <wp:inline distT="0" distB="0" distL="0" distR="0" wp14:anchorId="46BF51DE" wp14:editId="6F39BF31">
            <wp:extent cx="7759700" cy="10033000"/>
            <wp:effectExtent l="0" t="0" r="0" b="0"/>
            <wp:docPr id="1899609973" name="Picture 1" descr="Portada de ¿Cómo se aplica la Sección 504 de la Ley de Rehabilitación al sistema de inmigración? Una perspectiva general, con fecha de julio de 2026, elaborado por el Fondo para la Defensa y Educación de los Derechos de las Personas con Discapacidad (DREDF). Se muestra un montaje de cuatro fotografías: la silueta de una persona contemplando la Estatua de la Libertad; una persona de apariencia masculina con un bastón blanco que escucha su teléfono inteligente frente a un cuerpo de agua; una familia de tres integrantes fuera de una casa, donde uno de los padres utiliza silla de ruedas; y una fotografía de dos personas sonriendo a la cám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609973" name="Picture 1" descr="Portada de ¿Cómo se aplica la Sección 504 de la Ley de Rehabilitación al sistema de inmigración? Una perspectiva general, con fecha de julio de 2026, elaborado por el Fondo para la Defensa y Educación de los Derechos de las Personas con Discapacidad (DREDF). Se muestra un montaje de cuatro fotografías: la silueta de una persona contemplando la Estatua de la Libertad; una persona de apariencia masculina con un bastón blanco que escucha su teléfono inteligente frente a un cuerpo de agua; una familia de tres integrantes fuera de una casa, donde uno de los padres utiliza silla de ruedas; y una fotografía de dos personas sonriendo a la cámara."/>
                    <pic:cNvPicPr/>
                  </pic:nvPicPr>
                  <pic:blipFill>
                    <a:blip r:embed="rId9">
                      <a:extLst>
                        <a:ext uri="{28A0092B-C50C-407E-A947-70E740481C1C}">
                          <a14:useLocalDpi xmlns:a14="http://schemas.microsoft.com/office/drawing/2010/main" val="0"/>
                        </a:ext>
                      </a:extLst>
                    </a:blip>
                    <a:stretch>
                      <a:fillRect/>
                    </a:stretch>
                  </pic:blipFill>
                  <pic:spPr>
                    <a:xfrm>
                      <a:off x="0" y="0"/>
                      <a:ext cx="7759700" cy="10033000"/>
                    </a:xfrm>
                    <a:prstGeom prst="rect">
                      <a:avLst/>
                    </a:prstGeom>
                  </pic:spPr>
                </pic:pic>
              </a:graphicData>
            </a:graphic>
          </wp:inline>
        </w:drawing>
      </w:r>
    </w:p>
    <w:p w14:paraId="2AD9DE7D" w14:textId="1568AABF" w:rsidR="00B11B84" w:rsidRPr="005C1B1A" w:rsidRDefault="00CF47A3" w:rsidP="000327B9">
      <w:pPr>
        <w:pStyle w:val="Title"/>
        <w:rPr>
          <w:lang w:val="es-ES_tradnl"/>
        </w:rPr>
      </w:pPr>
      <w:r w:rsidRPr="005C1B1A">
        <w:rPr>
          <w:lang w:val="es-ES_tradnl"/>
        </w:rPr>
        <w:lastRenderedPageBreak/>
        <w:t xml:space="preserve">¿Cómo se aplica la Sección 504 de la Ley de Rehabilitación </w:t>
      </w:r>
      <w:r w:rsidR="000327B9">
        <w:rPr>
          <w:lang w:val="es-ES_tradnl"/>
        </w:rPr>
        <w:br/>
      </w:r>
      <w:r w:rsidRPr="005C1B1A">
        <w:rPr>
          <w:lang w:val="es-ES_tradnl"/>
        </w:rPr>
        <w:t>al sistema de inmigración? Una perspectiva general</w:t>
      </w:r>
    </w:p>
    <w:p w14:paraId="3EC210A9" w14:textId="234600DD" w:rsidR="00A76108" w:rsidRPr="005C1B1A" w:rsidRDefault="00CF47A3" w:rsidP="00D71FA8">
      <w:pPr>
        <w:widowControl w:val="0"/>
        <w:spacing w:after="240"/>
        <w:rPr>
          <w:rFonts w:ascii="Myriad Pro" w:hAnsi="Myriad Pro"/>
          <w:lang w:val="es-ES_tradnl"/>
        </w:rPr>
      </w:pPr>
      <w:r w:rsidRPr="005C1B1A">
        <w:rPr>
          <w:rFonts w:ascii="Myriad Pro" w:hAnsi="Myriad Pro"/>
          <w:lang w:val="es-ES_tradnl"/>
        </w:rPr>
        <w:t>Una gran proporción de los inmigrantes que interactúan con las agencias federales de inmigración tienen discapacidades. Esto es particularmente cierto en el caso de los solicitantes de asilo, los refugiados y las personas que se encuentran recluidas en centros de detención de inmigrantes.</w:t>
      </w:r>
      <w:r w:rsidR="00FE7CFE" w:rsidRPr="005C1B1A">
        <w:rPr>
          <w:rStyle w:val="FootnoteReference"/>
          <w:rFonts w:ascii="Myriad Pro" w:hAnsi="Myriad Pro"/>
          <w:lang w:val="es-ES_tradnl"/>
        </w:rPr>
        <w:footnoteReference w:id="1"/>
      </w:r>
      <w:r w:rsidR="00FE7CFE" w:rsidRPr="005C1B1A">
        <w:rPr>
          <w:rFonts w:ascii="Myriad Pro" w:hAnsi="Myriad Pro"/>
          <w:lang w:val="es-ES_tradnl"/>
        </w:rPr>
        <w:t xml:space="preserve"> </w:t>
      </w:r>
    </w:p>
    <w:p w14:paraId="43A04F12" w14:textId="33CE1B79" w:rsidR="00B11B84" w:rsidRPr="005C1B1A" w:rsidRDefault="00CF47A3" w:rsidP="00D71FA8">
      <w:pPr>
        <w:widowControl w:val="0"/>
        <w:spacing w:after="240"/>
        <w:rPr>
          <w:rFonts w:ascii="Myriad Pro" w:hAnsi="Myriad Pro"/>
          <w:lang w:val="es-ES_tradnl"/>
        </w:rPr>
      </w:pPr>
      <w:r w:rsidRPr="005C1B1A">
        <w:rPr>
          <w:rFonts w:ascii="Myriad Pro" w:hAnsi="Myriad Pro"/>
          <w:lang w:val="es-ES_tradnl"/>
        </w:rPr>
        <w:t>La Sección 504 de la Ley de Rehabilitación de 1973, 29 U.S.C. § 794(a), prohíbe la discriminación por motivos de discapacidad por parte de las agencias federales. La ley abarca a las dos agencias federales más directamente implicadas en el ámbito de la inmigración:</w:t>
      </w:r>
      <w:r w:rsidR="007C2B76" w:rsidRPr="005C1B1A">
        <w:rPr>
          <w:rFonts w:ascii="Myriad Pro" w:hAnsi="Myriad Pro"/>
          <w:lang w:val="es-ES_tradnl"/>
        </w:rPr>
        <w:t xml:space="preserve"> </w:t>
      </w:r>
    </w:p>
    <w:p w14:paraId="5A43D46C" w14:textId="5E48C720" w:rsidR="007C2B76" w:rsidRPr="005C1B1A" w:rsidRDefault="00CF47A3" w:rsidP="00425BDA">
      <w:pPr>
        <w:pStyle w:val="ListParagraph"/>
        <w:widowControl w:val="0"/>
        <w:numPr>
          <w:ilvl w:val="0"/>
          <w:numId w:val="16"/>
        </w:numPr>
        <w:spacing w:after="240"/>
        <w:ind w:left="720"/>
        <w:rPr>
          <w:rFonts w:ascii="Myriad Pro" w:hAnsi="Myriad Pro"/>
          <w:sz w:val="24"/>
          <w:szCs w:val="24"/>
          <w:lang w:val="es-ES_tradnl"/>
        </w:rPr>
      </w:pPr>
      <w:r w:rsidRPr="005C1B1A">
        <w:rPr>
          <w:rFonts w:ascii="Myriad Pro" w:hAnsi="Myriad Pro"/>
          <w:sz w:val="24"/>
          <w:szCs w:val="24"/>
          <w:lang w:val="es-ES_tradnl"/>
        </w:rPr>
        <w:t>El Departamento de Justicia de los EE. UU. (</w:t>
      </w:r>
      <w:r w:rsidR="0078616A">
        <w:rPr>
          <w:rFonts w:ascii="Myriad Pro" w:hAnsi="Myriad Pro"/>
          <w:sz w:val="24"/>
          <w:szCs w:val="24"/>
          <w:lang w:val="es-ES_tradnl"/>
        </w:rPr>
        <w:t>“</w:t>
      </w:r>
      <w:r w:rsidRPr="005C1B1A">
        <w:rPr>
          <w:rFonts w:ascii="Myriad Pro" w:hAnsi="Myriad Pro"/>
          <w:sz w:val="24"/>
          <w:szCs w:val="24"/>
          <w:lang w:val="es-ES_tradnl"/>
        </w:rPr>
        <w:t>DOJ</w:t>
      </w:r>
      <w:r w:rsidR="0078616A">
        <w:rPr>
          <w:rFonts w:ascii="Myriad Pro" w:hAnsi="Myriad Pro"/>
          <w:sz w:val="24"/>
          <w:szCs w:val="24"/>
          <w:lang w:val="es-ES_tradnl"/>
        </w:rPr>
        <w:t>”</w:t>
      </w:r>
      <w:r w:rsidRPr="005C1B1A">
        <w:rPr>
          <w:rFonts w:ascii="Myriad Pro" w:hAnsi="Myriad Pro"/>
          <w:sz w:val="24"/>
          <w:szCs w:val="24"/>
          <w:lang w:val="es-ES_tradnl"/>
        </w:rPr>
        <w:t>), que incluye a la Oficina Ejecutiva de Revisión de Casos de Inmigración (</w:t>
      </w:r>
      <w:r w:rsidR="0078616A">
        <w:rPr>
          <w:rFonts w:ascii="Myriad Pro" w:hAnsi="Myriad Pro"/>
          <w:sz w:val="24"/>
          <w:szCs w:val="24"/>
          <w:lang w:val="es-ES_tradnl"/>
        </w:rPr>
        <w:t>“</w:t>
      </w:r>
      <w:r w:rsidRPr="005C1B1A">
        <w:rPr>
          <w:rFonts w:ascii="Myriad Pro" w:hAnsi="Myriad Pro"/>
          <w:sz w:val="24"/>
          <w:szCs w:val="24"/>
          <w:lang w:val="es-ES_tradnl"/>
        </w:rPr>
        <w:t>EOIR</w:t>
      </w:r>
      <w:r w:rsidR="0078616A">
        <w:rPr>
          <w:rFonts w:ascii="Myriad Pro" w:hAnsi="Myriad Pro"/>
          <w:sz w:val="24"/>
          <w:szCs w:val="24"/>
          <w:lang w:val="es-ES_tradnl"/>
        </w:rPr>
        <w:t>”</w:t>
      </w:r>
      <w:r w:rsidRPr="005C1B1A">
        <w:rPr>
          <w:rFonts w:ascii="Myriad Pro" w:hAnsi="Myriad Pro"/>
          <w:sz w:val="24"/>
          <w:szCs w:val="24"/>
          <w:lang w:val="es-ES_tradnl"/>
        </w:rPr>
        <w:t>) y a la Junta de Apelaciones de Inmigración (BIA, por sus siglas en inglés)</w:t>
      </w:r>
    </w:p>
    <w:p w14:paraId="7BFF4C28" w14:textId="77777777" w:rsidR="00913C48" w:rsidRPr="005C1B1A" w:rsidRDefault="00913C48" w:rsidP="00425BDA">
      <w:pPr>
        <w:pStyle w:val="ListParagraph"/>
        <w:widowControl w:val="0"/>
        <w:spacing w:after="240" w:line="240" w:lineRule="auto"/>
        <w:ind w:left="0"/>
        <w:rPr>
          <w:rFonts w:ascii="Myriad Pro" w:hAnsi="Myriad Pro"/>
          <w:sz w:val="4"/>
          <w:szCs w:val="4"/>
          <w:lang w:val="es-ES_tradnl"/>
        </w:rPr>
      </w:pPr>
    </w:p>
    <w:p w14:paraId="23F9668F" w14:textId="64C084E0" w:rsidR="00B11B84" w:rsidRPr="005C1B1A" w:rsidRDefault="00BC791E" w:rsidP="00425BDA">
      <w:pPr>
        <w:pStyle w:val="ListParagraph"/>
        <w:widowControl w:val="0"/>
        <w:numPr>
          <w:ilvl w:val="0"/>
          <w:numId w:val="16"/>
        </w:numPr>
        <w:spacing w:after="240"/>
        <w:ind w:left="720"/>
        <w:rPr>
          <w:rFonts w:ascii="Myriad Pro" w:hAnsi="Myriad Pro"/>
          <w:sz w:val="24"/>
          <w:szCs w:val="24"/>
          <w:lang w:val="es-ES_tradnl"/>
        </w:rPr>
      </w:pPr>
      <w:r w:rsidRPr="005C1B1A">
        <w:rPr>
          <w:rFonts w:ascii="Myriad Pro" w:hAnsi="Myriad Pro"/>
          <w:sz w:val="24"/>
          <w:szCs w:val="24"/>
          <w:lang w:val="es-ES_tradnl"/>
        </w:rPr>
        <w:t>El Departamento de Seguridad Nacional de los Estados Unidos (</w:t>
      </w:r>
      <w:r w:rsidR="0078616A">
        <w:rPr>
          <w:rFonts w:ascii="Myriad Pro" w:hAnsi="Myriad Pro"/>
          <w:sz w:val="24"/>
          <w:szCs w:val="24"/>
          <w:lang w:val="es-ES_tradnl"/>
        </w:rPr>
        <w:t>“</w:t>
      </w:r>
      <w:r w:rsidRPr="005C1B1A">
        <w:rPr>
          <w:rFonts w:ascii="Myriad Pro" w:hAnsi="Myriad Pro"/>
          <w:sz w:val="24"/>
          <w:szCs w:val="24"/>
          <w:lang w:val="es-ES_tradnl"/>
        </w:rPr>
        <w:t>DHS</w:t>
      </w:r>
      <w:r w:rsidR="0078616A">
        <w:rPr>
          <w:rFonts w:ascii="Myriad Pro" w:hAnsi="Myriad Pro"/>
          <w:sz w:val="24"/>
          <w:szCs w:val="24"/>
          <w:lang w:val="es-ES_tradnl"/>
        </w:rPr>
        <w:t>”</w:t>
      </w:r>
      <w:r w:rsidRPr="005C1B1A">
        <w:rPr>
          <w:rFonts w:ascii="Myriad Pro" w:hAnsi="Myriad Pro"/>
          <w:sz w:val="24"/>
          <w:szCs w:val="24"/>
          <w:lang w:val="es-ES_tradnl"/>
        </w:rPr>
        <w:t>, por sus siglas en inglés), que incluye al Servicio de Control de Inmigración y Aduanas (</w:t>
      </w:r>
      <w:r w:rsidR="0078616A">
        <w:rPr>
          <w:rFonts w:ascii="Myriad Pro" w:hAnsi="Myriad Pro"/>
          <w:sz w:val="24"/>
          <w:szCs w:val="24"/>
          <w:lang w:val="es-ES_tradnl"/>
        </w:rPr>
        <w:t>“</w:t>
      </w:r>
      <w:r w:rsidRPr="005C1B1A">
        <w:rPr>
          <w:rFonts w:ascii="Myriad Pro" w:hAnsi="Myriad Pro"/>
          <w:sz w:val="24"/>
          <w:szCs w:val="24"/>
          <w:lang w:val="es-ES_tradnl"/>
        </w:rPr>
        <w:t>ICE</w:t>
      </w:r>
      <w:r w:rsidR="0078616A">
        <w:rPr>
          <w:rFonts w:ascii="Myriad Pro" w:hAnsi="Myriad Pro"/>
          <w:sz w:val="24"/>
          <w:szCs w:val="24"/>
          <w:lang w:val="es-ES_tradnl"/>
        </w:rPr>
        <w:t>”</w:t>
      </w:r>
      <w:r w:rsidRPr="005C1B1A">
        <w:rPr>
          <w:rFonts w:ascii="Myriad Pro" w:hAnsi="Myriad Pro"/>
          <w:sz w:val="24"/>
          <w:szCs w:val="24"/>
          <w:lang w:val="es-ES_tradnl"/>
        </w:rPr>
        <w:t>, por sus siglas en inglés), al Servicio de Ciudadanía e Inmigración de los Estados Unidos (</w:t>
      </w:r>
      <w:r w:rsidR="0078616A">
        <w:rPr>
          <w:rFonts w:ascii="Myriad Pro" w:hAnsi="Myriad Pro"/>
          <w:sz w:val="24"/>
          <w:szCs w:val="24"/>
          <w:lang w:val="es-ES_tradnl"/>
        </w:rPr>
        <w:t>“</w:t>
      </w:r>
      <w:r w:rsidRPr="005C1B1A">
        <w:rPr>
          <w:rFonts w:ascii="Myriad Pro" w:hAnsi="Myriad Pro"/>
          <w:sz w:val="24"/>
          <w:szCs w:val="24"/>
          <w:lang w:val="es-ES_tradnl"/>
        </w:rPr>
        <w:t>USCIS</w:t>
      </w:r>
      <w:r w:rsidR="0078616A">
        <w:rPr>
          <w:rFonts w:ascii="Myriad Pro" w:hAnsi="Myriad Pro"/>
          <w:sz w:val="24"/>
          <w:szCs w:val="24"/>
          <w:lang w:val="es-ES_tradnl"/>
        </w:rPr>
        <w:t>”</w:t>
      </w:r>
      <w:r w:rsidRPr="005C1B1A">
        <w:rPr>
          <w:rFonts w:ascii="Myriad Pro" w:hAnsi="Myriad Pro"/>
          <w:sz w:val="24"/>
          <w:szCs w:val="24"/>
          <w:lang w:val="es-ES_tradnl"/>
        </w:rPr>
        <w:t>, por sus siglas en inglés) y a la Oficina de Aduanas y Protección Fronteriza de los Estados Unidos (</w:t>
      </w:r>
      <w:r w:rsidR="0078616A">
        <w:rPr>
          <w:rFonts w:ascii="Myriad Pro" w:hAnsi="Myriad Pro"/>
          <w:sz w:val="24"/>
          <w:szCs w:val="24"/>
          <w:lang w:val="es-ES_tradnl"/>
        </w:rPr>
        <w:t>“</w:t>
      </w:r>
      <w:r w:rsidRPr="005C1B1A">
        <w:rPr>
          <w:rFonts w:ascii="Myriad Pro" w:hAnsi="Myriad Pro"/>
          <w:sz w:val="24"/>
          <w:szCs w:val="24"/>
          <w:lang w:val="es-ES_tradnl"/>
        </w:rPr>
        <w:t>CBP</w:t>
      </w:r>
      <w:r w:rsidR="0078616A">
        <w:rPr>
          <w:rFonts w:ascii="Myriad Pro" w:hAnsi="Myriad Pro"/>
          <w:sz w:val="24"/>
          <w:szCs w:val="24"/>
          <w:lang w:val="es-ES_tradnl"/>
        </w:rPr>
        <w:t>”</w:t>
      </w:r>
      <w:r w:rsidRPr="005C1B1A">
        <w:rPr>
          <w:rFonts w:ascii="Myriad Pro" w:hAnsi="Myriad Pro"/>
          <w:sz w:val="24"/>
          <w:szCs w:val="24"/>
          <w:lang w:val="es-ES_tradnl"/>
        </w:rPr>
        <w:t>, por sus siglas en inglés)</w:t>
      </w:r>
    </w:p>
    <w:p w14:paraId="7E89E804" w14:textId="3D43CEDD" w:rsidR="00C551C7" w:rsidRPr="005C1B1A" w:rsidRDefault="00BC791E" w:rsidP="00D71FA8">
      <w:pPr>
        <w:widowControl w:val="0"/>
        <w:spacing w:after="240"/>
        <w:rPr>
          <w:rFonts w:ascii="Myriad Pro" w:hAnsi="Myriad Pro"/>
          <w:lang w:val="es-ES_tradnl"/>
        </w:rPr>
      </w:pPr>
      <w:r w:rsidRPr="005C1B1A">
        <w:rPr>
          <w:rFonts w:ascii="Myriad Pro" w:hAnsi="Myriad Pro"/>
          <w:lang w:val="es-ES_tradnl"/>
        </w:rPr>
        <w:t xml:space="preserve">La Sección 504 y sus reglamentos de aplicación establecen las normas de no discriminación por motivos de discapacidad que deben cumplir las agencias federales, como el DOJ y el DHS. Cada agencia cuenta con sus propios reglamentos relativos a la Sección 504. Véase 28 C.F.R. Parte 39 (que prohíbe la discriminación por motivos de discapacidad por parte del Departamento de Justicia); 6 C.F.R. Parte 15 (que prohíbe la discriminación por motivos de discapacidad por parte del Departamento de Seguridad Nacional). En virtud de los reglamentos aplicables, ninguna persona con discapacidad podrá, por motivos de su discapacidad, </w:t>
      </w:r>
      <w:r w:rsidR="0078616A">
        <w:rPr>
          <w:rFonts w:ascii="Myriad Pro" w:hAnsi="Myriad Pro"/>
          <w:lang w:val="es-ES_tradnl"/>
        </w:rPr>
        <w:t>“</w:t>
      </w:r>
      <w:r w:rsidRPr="005C1B1A">
        <w:rPr>
          <w:rFonts w:ascii="Myriad Pro" w:hAnsi="Myriad Pro"/>
          <w:lang w:val="es-ES_tradnl"/>
        </w:rPr>
        <w:t xml:space="preserve">ser excluida de la participación, ser privada de los beneficios o ser de otra manera sujeta a discriminación bajo cualquier programa o actividad llevada a cabo por la </w:t>
      </w:r>
      <w:r w:rsidRPr="005C1B1A">
        <w:rPr>
          <w:rFonts w:ascii="Myriad Pro" w:hAnsi="Myriad Pro"/>
          <w:lang w:val="es-ES_tradnl"/>
        </w:rPr>
        <w:lastRenderedPageBreak/>
        <w:t>agencia</w:t>
      </w:r>
      <w:r w:rsidR="0078616A">
        <w:rPr>
          <w:rFonts w:ascii="Myriad Pro" w:hAnsi="Myriad Pro"/>
          <w:lang w:val="es-ES_tradnl"/>
        </w:rPr>
        <w:t>”</w:t>
      </w:r>
      <w:r w:rsidRPr="005C1B1A">
        <w:rPr>
          <w:rFonts w:ascii="Myriad Pro" w:hAnsi="Myriad Pro"/>
          <w:lang w:val="es-ES_tradnl"/>
        </w:rPr>
        <w:t>. 28 C.F.R. § 39.130(a); 6 C.F.R. § 15.30(a).</w:t>
      </w:r>
      <w:r w:rsidR="00AD791D" w:rsidRPr="005C1B1A">
        <w:rPr>
          <w:rStyle w:val="FootnoteReference"/>
          <w:rFonts w:ascii="Myriad Pro" w:hAnsi="Myriad Pro"/>
          <w:lang w:val="es-ES_tradnl"/>
        </w:rPr>
        <w:footnoteReference w:id="2"/>
      </w:r>
    </w:p>
    <w:p w14:paraId="40A07EE2" w14:textId="48F44837" w:rsidR="004D65EA" w:rsidRPr="005C1B1A" w:rsidRDefault="00DA34F2" w:rsidP="00D71FA8">
      <w:pPr>
        <w:widowControl w:val="0"/>
        <w:spacing w:after="240"/>
        <w:rPr>
          <w:rFonts w:ascii="Myriad Pro" w:hAnsi="Myriad Pro"/>
          <w:lang w:val="es-ES_tradnl"/>
        </w:rPr>
      </w:pPr>
      <w:r w:rsidRPr="005C1B1A">
        <w:rPr>
          <w:rFonts w:ascii="Myriad Pro" w:hAnsi="Myriad Pro"/>
          <w:lang w:val="es-ES_tradnl"/>
        </w:rPr>
        <w:t>Las normas de no discriminación por motivos de discapacidad se aplican a todos los programas o actividades del sistema de inmigración dependientes del DOJ y del DHS, incluidos los procedimientos de inmigración, el ajuste de estatus, la naturalización, la detención migratoria</w:t>
      </w:r>
      <w:r w:rsidR="007970D7" w:rsidRPr="005C1B1A">
        <w:rPr>
          <w:rStyle w:val="FootnoteReference"/>
          <w:rFonts w:ascii="Myriad Pro" w:hAnsi="Myriad Pro"/>
          <w:lang w:val="es-ES_tradnl"/>
        </w:rPr>
        <w:footnoteReference w:id="3"/>
      </w:r>
      <w:r w:rsidR="008F5541" w:rsidRPr="005C1B1A">
        <w:rPr>
          <w:rFonts w:ascii="Myriad Pro" w:hAnsi="Myriad Pro"/>
          <w:lang w:val="es-ES_tradnl"/>
        </w:rPr>
        <w:t xml:space="preserve"> </w:t>
      </w:r>
      <w:r w:rsidRPr="005C1B1A">
        <w:rPr>
          <w:rFonts w:ascii="Myriad Pro" w:hAnsi="Myriad Pro"/>
          <w:lang w:val="es-ES_tradnl"/>
        </w:rPr>
        <w:t>y las interacciones con los funcionarios y el personal</w:t>
      </w:r>
      <w:r w:rsidR="006B3152" w:rsidRPr="005C1B1A">
        <w:rPr>
          <w:rFonts w:ascii="Myriad Pro" w:hAnsi="Myriad Pro"/>
          <w:lang w:val="es-ES_tradnl"/>
        </w:rPr>
        <w:t>.</w:t>
      </w:r>
    </w:p>
    <w:p w14:paraId="4C52E9A5" w14:textId="3B45AA55" w:rsidR="004E50B4" w:rsidRPr="005C1B1A" w:rsidRDefault="00DA34F2" w:rsidP="00425BDA">
      <w:pPr>
        <w:pStyle w:val="Heading1"/>
        <w:rPr>
          <w:lang w:val="es-ES_tradnl"/>
        </w:rPr>
      </w:pPr>
      <w:r w:rsidRPr="005C1B1A">
        <w:rPr>
          <w:lang w:val="es-ES_tradnl"/>
        </w:rPr>
        <w:t xml:space="preserve">Persona con una </w:t>
      </w:r>
      <w:r w:rsidR="0078616A">
        <w:rPr>
          <w:lang w:val="es-ES_tradnl"/>
        </w:rPr>
        <w:t>“</w:t>
      </w:r>
      <w:r w:rsidRPr="005C1B1A">
        <w:rPr>
          <w:lang w:val="es-ES_tradnl"/>
        </w:rPr>
        <w:t>discapacidad</w:t>
      </w:r>
      <w:r w:rsidR="0078616A">
        <w:rPr>
          <w:lang w:val="es-ES_tradnl"/>
        </w:rPr>
        <w:t>”</w:t>
      </w:r>
    </w:p>
    <w:p w14:paraId="03AD5A42" w14:textId="5FECDDB0" w:rsidR="004E50B4" w:rsidRPr="005C1B1A" w:rsidRDefault="00DA34F2" w:rsidP="00D71FA8">
      <w:pPr>
        <w:widowControl w:val="0"/>
        <w:spacing w:after="240"/>
        <w:rPr>
          <w:rFonts w:ascii="Myriad Pro" w:hAnsi="Myriad Pro"/>
          <w:lang w:val="es-ES_tradnl"/>
        </w:rPr>
      </w:pPr>
      <w:r w:rsidRPr="005C1B1A">
        <w:rPr>
          <w:rFonts w:ascii="Myriad Pro" w:hAnsi="Myriad Pro"/>
          <w:lang w:val="es-ES_tradnl"/>
        </w:rPr>
        <w:t xml:space="preserve">La Sección 504 protege a las personas con una amplia gama de discapacidades. En 2008, el Congreso aprobó la Ley de Enmiendas a la ADA, la cual añadió reglas de interpretación amplia y aclaró que la definición de </w:t>
      </w:r>
      <w:r w:rsidR="0078616A">
        <w:rPr>
          <w:rFonts w:ascii="Myriad Pro" w:hAnsi="Myriad Pro"/>
          <w:lang w:val="es-ES_tradnl"/>
        </w:rPr>
        <w:t>“</w:t>
      </w:r>
      <w:r w:rsidRPr="005C1B1A">
        <w:rPr>
          <w:rFonts w:ascii="Myriad Pro" w:hAnsi="Myriad Pro"/>
          <w:lang w:val="es-ES_tradnl"/>
        </w:rPr>
        <w:t>discapacidad</w:t>
      </w:r>
      <w:r w:rsidR="0078616A">
        <w:rPr>
          <w:rFonts w:ascii="Myriad Pro" w:hAnsi="Myriad Pro"/>
          <w:lang w:val="es-ES_tradnl"/>
        </w:rPr>
        <w:t>”</w:t>
      </w:r>
      <w:r w:rsidRPr="005C1B1A">
        <w:rPr>
          <w:rFonts w:ascii="Myriad Pro" w:hAnsi="Myriad Pro"/>
          <w:lang w:val="es-ES_tradnl"/>
        </w:rPr>
        <w:t xml:space="preserve"> para la ADA y para la Sección 504 de la Ley de Rehabilitación </w:t>
      </w:r>
      <w:r w:rsidR="0078616A">
        <w:rPr>
          <w:rFonts w:ascii="Myriad Pro" w:hAnsi="Myriad Pro"/>
          <w:lang w:val="es-ES_tradnl"/>
        </w:rPr>
        <w:t>“</w:t>
      </w:r>
      <w:r w:rsidRPr="005C1B1A">
        <w:rPr>
          <w:rFonts w:ascii="Myriad Pro" w:hAnsi="Myriad Pro"/>
          <w:lang w:val="es-ES_tradnl"/>
        </w:rPr>
        <w:t>debe interpretarse a favor de una cobertura amplia de las personas conforme a este capítulo, hasta el límite máximo permitido por los términos de este capítulo</w:t>
      </w:r>
      <w:r w:rsidR="0078616A">
        <w:rPr>
          <w:rFonts w:ascii="Myriad Pro" w:hAnsi="Myriad Pro"/>
          <w:lang w:val="es-ES_tradnl"/>
        </w:rPr>
        <w:t>”</w:t>
      </w:r>
      <w:r w:rsidRPr="005C1B1A">
        <w:rPr>
          <w:rFonts w:ascii="Myriad Pro" w:hAnsi="Myriad Pro"/>
          <w:lang w:val="es-ES_tradnl"/>
        </w:rPr>
        <w:t>. 42 U.S.C. § 12102(4)(A).</w:t>
      </w:r>
    </w:p>
    <w:p w14:paraId="507EA1FE" w14:textId="1D1FEDA9" w:rsidR="004E50B4" w:rsidRPr="005C1B1A" w:rsidRDefault="00DA34F2" w:rsidP="00D71FA8">
      <w:pPr>
        <w:widowControl w:val="0"/>
        <w:spacing w:after="240"/>
        <w:rPr>
          <w:rFonts w:ascii="Myriad Pro" w:hAnsi="Myriad Pro"/>
          <w:lang w:val="es-ES_tradnl"/>
        </w:rPr>
      </w:pPr>
      <w:r w:rsidRPr="005C1B1A">
        <w:rPr>
          <w:rFonts w:ascii="Myriad Pro" w:hAnsi="Myriad Pro"/>
          <w:lang w:val="es-ES_tradnl"/>
        </w:rPr>
        <w:t xml:space="preserve">En la práctica, esto significa que las personas con una amplia gama de afecciones mentales y físicas están protegidas por las leyes federales de derechos civiles. Las siguientes condiciones y deficiencias similares pueden ser </w:t>
      </w:r>
      <w:r w:rsidR="0078616A">
        <w:rPr>
          <w:rFonts w:ascii="Myriad Pro" w:hAnsi="Myriad Pro"/>
          <w:lang w:val="es-ES_tradnl"/>
        </w:rPr>
        <w:t>“</w:t>
      </w:r>
      <w:r w:rsidRPr="005C1B1A">
        <w:rPr>
          <w:rFonts w:ascii="Myriad Pro" w:hAnsi="Myriad Pro"/>
          <w:lang w:val="es-ES_tradnl"/>
        </w:rPr>
        <w:t>discapacidades</w:t>
      </w:r>
      <w:r w:rsidR="0078616A">
        <w:rPr>
          <w:rFonts w:ascii="Myriad Pro" w:hAnsi="Myriad Pro"/>
          <w:lang w:val="es-ES_tradnl"/>
        </w:rPr>
        <w:t>”</w:t>
      </w:r>
      <w:r w:rsidRPr="005C1B1A">
        <w:rPr>
          <w:rFonts w:ascii="Myriad Pro" w:hAnsi="Myriad Pro"/>
          <w:lang w:val="es-ES_tradnl"/>
        </w:rPr>
        <w:t xml:space="preserve"> bajo la Sección 504: el TEPT (trastorno de estrés postraumático), el trastorno bipolar, la esquizofrenia, la depresión, el trastorno de ansiedad generalizada, el TOC (trastorno obsesivo-compulsivo), las lesiones cerebrales traumáticas, el autismo, las discapacidades intelectuales y del desarrollo, las discapacidades de movilidad, la sordera, la ceguera, las dificultades de aprendizaje, la dislexia, el TDAH, la demencia, la enfermedad de Alzheimer, las enfermedades crónicas como el asma, la EPOC, la diabetes, la presión arterial alta, las enfermedades renales, el COVID persistente (</w:t>
      </w:r>
      <w:r w:rsidR="0078616A">
        <w:rPr>
          <w:rFonts w:ascii="Myriad Pro" w:hAnsi="Myriad Pro"/>
          <w:lang w:val="es-ES_tradnl"/>
        </w:rPr>
        <w:t>“</w:t>
      </w:r>
      <w:r w:rsidRPr="005C1B1A">
        <w:rPr>
          <w:rFonts w:ascii="Myriad Pro" w:hAnsi="Myriad Pro"/>
          <w:lang w:val="es-ES_tradnl"/>
        </w:rPr>
        <w:t>Long COVID</w:t>
      </w:r>
      <w:r w:rsidR="0078616A">
        <w:rPr>
          <w:rFonts w:ascii="Myriad Pro" w:hAnsi="Myriad Pro"/>
          <w:lang w:val="es-ES_tradnl"/>
        </w:rPr>
        <w:t>”</w:t>
      </w:r>
      <w:r w:rsidRPr="005C1B1A">
        <w:rPr>
          <w:rFonts w:ascii="Myriad Pro" w:hAnsi="Myriad Pro"/>
          <w:lang w:val="es-ES_tradnl"/>
        </w:rPr>
        <w:t xml:space="preserve">), así como el cáncer o los antecedentes de cáncer. </w:t>
      </w:r>
      <w:r w:rsidRPr="005C1B1A">
        <w:rPr>
          <w:rFonts w:ascii="Myriad Pro" w:hAnsi="Myriad Pro"/>
          <w:i/>
          <w:iCs/>
          <w:lang w:val="es-ES_tradnl"/>
        </w:rPr>
        <w:t>Véase también</w:t>
      </w:r>
      <w:r w:rsidRPr="005C1B1A">
        <w:rPr>
          <w:rFonts w:ascii="Myriad Pro" w:hAnsi="Myriad Pro"/>
          <w:lang w:val="es-ES_tradnl"/>
        </w:rPr>
        <w:t xml:space="preserve"> 28 C.F.R. § 35.108 (reglamento del DOJ que implementa la Ley de Enmiendas a la ADA).</w:t>
      </w:r>
      <w:r w:rsidR="004E50B4" w:rsidRPr="005C1B1A">
        <w:rPr>
          <w:rFonts w:ascii="Myriad Pro" w:hAnsi="Myriad Pro"/>
          <w:lang w:val="es-ES_tradnl"/>
        </w:rPr>
        <w:t xml:space="preserve"> </w:t>
      </w:r>
    </w:p>
    <w:p w14:paraId="1DD726B4" w14:textId="4C7B4B65" w:rsidR="00B11B84" w:rsidRPr="005C1B1A" w:rsidRDefault="00DA34F2" w:rsidP="00425BDA">
      <w:pPr>
        <w:pStyle w:val="Heading1"/>
        <w:rPr>
          <w:lang w:val="es-ES_tradnl"/>
        </w:rPr>
      </w:pPr>
      <w:r w:rsidRPr="005C1B1A">
        <w:rPr>
          <w:lang w:val="es-ES_tradnl"/>
        </w:rPr>
        <w:t>Normas de no discriminación por motivos de discapacidad</w:t>
      </w:r>
    </w:p>
    <w:p w14:paraId="7F30B93E" w14:textId="5AC994F3" w:rsidR="00B11B84" w:rsidRPr="005C1B1A" w:rsidRDefault="00DA34F2" w:rsidP="00D71FA8">
      <w:pPr>
        <w:widowControl w:val="0"/>
        <w:spacing w:after="240"/>
        <w:rPr>
          <w:rFonts w:ascii="Myriad Pro" w:hAnsi="Myriad Pro"/>
          <w:lang w:val="es-ES_tradnl"/>
        </w:rPr>
      </w:pPr>
      <w:r w:rsidRPr="005C1B1A">
        <w:rPr>
          <w:rFonts w:ascii="Myriad Pro" w:hAnsi="Myriad Pro"/>
          <w:lang w:val="es-ES_tradnl"/>
        </w:rPr>
        <w:t xml:space="preserve">Estas normas prohíben diversas formas de discriminación por discapacidad, ya sean intencionadas o no, e incluyen medios directos e indirectos. Las agencias deben tomar medidas activas para proporcionar las adaptaciones razonables que las personas con discapacidad requieran para acceder a los programas y evitar la discriminación, así como para garantizar que la comunicación con las personas con discapacidad sea eficaz. Los </w:t>
      </w:r>
      <w:r w:rsidRPr="005C1B1A">
        <w:rPr>
          <w:rFonts w:ascii="Myriad Pro" w:hAnsi="Myriad Pro"/>
          <w:lang w:val="es-ES_tradnl"/>
        </w:rPr>
        <w:lastRenderedPageBreak/>
        <w:t>documentos de políticas del DHS analizan estas obligaciones.</w:t>
      </w:r>
      <w:r w:rsidR="001D7315" w:rsidRPr="005C1B1A">
        <w:rPr>
          <w:rStyle w:val="FootnoteReference"/>
          <w:rFonts w:ascii="Myriad Pro" w:hAnsi="Myriad Pro"/>
          <w:lang w:val="es-ES_tradnl"/>
        </w:rPr>
        <w:footnoteReference w:id="4"/>
      </w:r>
      <w:r w:rsidR="001D7315" w:rsidRPr="005C1B1A">
        <w:rPr>
          <w:rFonts w:ascii="Myriad Pro" w:hAnsi="Myriad Pro"/>
          <w:lang w:val="es-ES_tradnl"/>
        </w:rPr>
        <w:t xml:space="preserve"> </w:t>
      </w:r>
    </w:p>
    <w:p w14:paraId="1D6D1BD2" w14:textId="5E98D88C" w:rsidR="00B11B84" w:rsidRPr="005C1B1A" w:rsidRDefault="00DA34F2" w:rsidP="00D71FA8">
      <w:pPr>
        <w:widowControl w:val="0"/>
        <w:spacing w:after="240"/>
        <w:rPr>
          <w:rFonts w:ascii="Myriad Pro" w:hAnsi="Myriad Pro"/>
          <w:lang w:val="es-ES_tradnl"/>
        </w:rPr>
      </w:pPr>
      <w:r w:rsidRPr="005C1B1A">
        <w:rPr>
          <w:rFonts w:ascii="Myriad Pro" w:hAnsi="Myriad Pro"/>
          <w:lang w:val="es-ES_tradnl"/>
        </w:rPr>
        <w:t>Las prohibiciones reglamentarias específicas incluyen las siguientes:</w:t>
      </w:r>
    </w:p>
    <w:p w14:paraId="45AF3A92" w14:textId="115444B5" w:rsidR="00BF517E" w:rsidRPr="005C1B1A" w:rsidRDefault="00DA34F2" w:rsidP="00D71FA8">
      <w:pPr>
        <w:pStyle w:val="ListParagraph"/>
        <w:widowControl w:val="0"/>
        <w:numPr>
          <w:ilvl w:val="0"/>
          <w:numId w:val="4"/>
        </w:numPr>
        <w:spacing w:after="240" w:line="240" w:lineRule="auto"/>
        <w:rPr>
          <w:rFonts w:ascii="Myriad Pro" w:hAnsi="Myriad Pro"/>
          <w:sz w:val="24"/>
          <w:szCs w:val="24"/>
          <w:lang w:val="es-ES_tradnl"/>
        </w:rPr>
      </w:pPr>
      <w:r w:rsidRPr="005C1B1A">
        <w:rPr>
          <w:rFonts w:ascii="Myriad Pro" w:hAnsi="Myriad Pro"/>
          <w:sz w:val="24"/>
          <w:szCs w:val="24"/>
          <w:lang w:val="es-ES_tradnl"/>
        </w:rPr>
        <w:t>Una agencia no puede, de forma directa o a través de acuerdos contractuales o de otro tipo, denegar a una persona con discapacidad la oportunidad de participar o beneficiarse de ayudas, beneficios o servicios en condiciones que sean iguales y tan eficaces como las que se ofrecen a las personas sin discapacidad. 28 C.F.R. § 39.130(b)(1)(ii), (iii); 6 C.F.R. § 15.30(b)(1)(ii), (iii).</w:t>
      </w:r>
    </w:p>
    <w:p w14:paraId="5A840BA7" w14:textId="77777777" w:rsidR="008F3708" w:rsidRPr="005C1B1A" w:rsidRDefault="008F3708" w:rsidP="00D71FA8">
      <w:pPr>
        <w:pStyle w:val="ListParagraph"/>
        <w:spacing w:after="240"/>
        <w:rPr>
          <w:rFonts w:ascii="Myriad Pro" w:hAnsi="Myriad Pro"/>
          <w:sz w:val="20"/>
          <w:szCs w:val="20"/>
          <w:lang w:val="es-ES_tradnl"/>
        </w:rPr>
      </w:pPr>
    </w:p>
    <w:p w14:paraId="038721EB" w14:textId="580F9A6E" w:rsidR="00064071" w:rsidRPr="005C1B1A" w:rsidRDefault="00DA34F2" w:rsidP="00D71FA8">
      <w:pPr>
        <w:pStyle w:val="ListParagraph"/>
        <w:widowControl w:val="0"/>
        <w:numPr>
          <w:ilvl w:val="1"/>
          <w:numId w:val="4"/>
        </w:numPr>
        <w:spacing w:after="240" w:line="240" w:lineRule="auto"/>
        <w:rPr>
          <w:rFonts w:ascii="Myriad Pro" w:hAnsi="Myriad Pro"/>
          <w:sz w:val="24"/>
          <w:szCs w:val="24"/>
          <w:lang w:val="es-ES_tradnl"/>
        </w:rPr>
      </w:pPr>
      <w:r w:rsidRPr="005C1B1A">
        <w:rPr>
          <w:rFonts w:ascii="Myriad Pro" w:hAnsi="Myriad Pro"/>
          <w:sz w:val="24"/>
          <w:szCs w:val="24"/>
          <w:lang w:val="es-ES_tradnl"/>
        </w:rPr>
        <w:t>Los tribunales de inmigración podrían cometer una violación de la Sección 504 si no adoptan las medidas adecuadas para garantizar que los demandados con discapacidades, como las intelectuales y del desarrollo, puedan participar y aportar información importante sobre sus casos.</w:t>
      </w:r>
      <w:r w:rsidR="005A18C4" w:rsidRPr="005C1B1A">
        <w:rPr>
          <w:rFonts w:ascii="Myriad Pro" w:hAnsi="Myriad Pro"/>
          <w:sz w:val="24"/>
          <w:szCs w:val="24"/>
          <w:lang w:val="es-ES_tradnl"/>
        </w:rPr>
        <w:t xml:space="preserve"> </w:t>
      </w:r>
    </w:p>
    <w:p w14:paraId="6208D86F" w14:textId="77777777" w:rsidR="005A18C4" w:rsidRPr="005C1B1A" w:rsidRDefault="005A18C4" w:rsidP="00D71FA8">
      <w:pPr>
        <w:pStyle w:val="ListParagraph"/>
        <w:widowControl w:val="0"/>
        <w:spacing w:after="240" w:line="240" w:lineRule="auto"/>
        <w:ind w:left="1440"/>
        <w:rPr>
          <w:rFonts w:ascii="Myriad Pro" w:hAnsi="Myriad Pro"/>
          <w:sz w:val="20"/>
          <w:szCs w:val="20"/>
          <w:lang w:val="es-ES_tradnl"/>
        </w:rPr>
      </w:pPr>
    </w:p>
    <w:p w14:paraId="0342F435" w14:textId="1C972129" w:rsidR="005D5D41" w:rsidRPr="005C1B1A" w:rsidRDefault="00F20D47" w:rsidP="00D71FA8">
      <w:pPr>
        <w:pStyle w:val="ListParagraph"/>
        <w:widowControl w:val="0"/>
        <w:numPr>
          <w:ilvl w:val="1"/>
          <w:numId w:val="4"/>
        </w:numPr>
        <w:spacing w:after="240" w:line="240" w:lineRule="auto"/>
        <w:rPr>
          <w:rFonts w:ascii="Myriad Pro" w:hAnsi="Myriad Pro"/>
          <w:sz w:val="24"/>
          <w:szCs w:val="24"/>
          <w:lang w:val="es-ES_tradnl"/>
        </w:rPr>
      </w:pPr>
      <w:r w:rsidRPr="005C1B1A">
        <w:rPr>
          <w:rFonts w:ascii="Myriad Pro" w:hAnsi="Myriad Pro"/>
          <w:sz w:val="24"/>
          <w:szCs w:val="24"/>
          <w:lang w:val="es-ES_tradnl"/>
        </w:rPr>
        <w:t>El DHS podría violar la Sección 504 si opera o contrata centros de detención con programas inaccesibles, tales como: videos de orientación que no sean accesibles para los detenidos sordos y con dificultades auditivas (con subtítulos o lenguaje de señas); tabletas que sean inaccesibles para los detenidos ciegos y con baja visión; la falta de teléfonos accesibles (videoteléfonos y teléfonos con subtítulos) que los detenidos sordos y con dificultades auditivas puedan usar; o programas como la biblioteca de derecho o las visitas ubicados en áreas que no sean accesibles para detenidos con discapacidades de movilidad.</w:t>
      </w:r>
      <w:r w:rsidR="005A18C4" w:rsidRPr="005C1B1A">
        <w:rPr>
          <w:rFonts w:ascii="Myriad Pro" w:hAnsi="Myriad Pro"/>
          <w:sz w:val="24"/>
          <w:szCs w:val="24"/>
          <w:lang w:val="es-ES_tradnl"/>
        </w:rPr>
        <w:t xml:space="preserve"> </w:t>
      </w:r>
    </w:p>
    <w:p w14:paraId="3A9F4176" w14:textId="77777777" w:rsidR="005D5D41" w:rsidRPr="005C1B1A" w:rsidRDefault="005D5D41" w:rsidP="00D71FA8">
      <w:pPr>
        <w:pStyle w:val="ListParagraph"/>
        <w:spacing w:after="240"/>
        <w:rPr>
          <w:rFonts w:ascii="Myriad Pro" w:hAnsi="Myriad Pro"/>
          <w:sz w:val="20"/>
          <w:szCs w:val="20"/>
          <w:lang w:val="es-ES_tradnl"/>
        </w:rPr>
      </w:pPr>
    </w:p>
    <w:p w14:paraId="1E6C8F76" w14:textId="6D622F33" w:rsidR="005A18C4" w:rsidRPr="005C1B1A" w:rsidRDefault="00F20D47" w:rsidP="00D71FA8">
      <w:pPr>
        <w:pStyle w:val="ListParagraph"/>
        <w:widowControl w:val="0"/>
        <w:numPr>
          <w:ilvl w:val="1"/>
          <w:numId w:val="4"/>
        </w:numPr>
        <w:spacing w:after="240" w:line="240" w:lineRule="auto"/>
        <w:rPr>
          <w:rFonts w:ascii="Myriad Pro" w:hAnsi="Myriad Pro"/>
          <w:sz w:val="24"/>
          <w:szCs w:val="24"/>
          <w:lang w:val="es-ES_tradnl"/>
        </w:rPr>
      </w:pPr>
      <w:r w:rsidRPr="005C1B1A">
        <w:rPr>
          <w:rFonts w:ascii="Myriad Pro" w:hAnsi="Myriad Pro"/>
          <w:sz w:val="24"/>
          <w:szCs w:val="24"/>
          <w:lang w:val="es-ES_tradnl"/>
        </w:rPr>
        <w:t>El DHS podría violar la Sección 504 si opera o contrata centros de detención que sean menos seguros para los detenidos con discapacidad en comparación con los detenidos sin discapacidad.</w:t>
      </w:r>
      <w:r w:rsidR="00C748AE" w:rsidRPr="005C1B1A">
        <w:rPr>
          <w:rFonts w:ascii="Myriad Pro" w:hAnsi="Myriad Pro"/>
          <w:sz w:val="24"/>
          <w:szCs w:val="24"/>
          <w:lang w:val="es-ES_tradnl"/>
        </w:rPr>
        <w:t xml:space="preserve"> </w:t>
      </w:r>
    </w:p>
    <w:p w14:paraId="45C85199" w14:textId="77777777" w:rsidR="005A18C4" w:rsidRPr="005C1B1A" w:rsidRDefault="005A18C4" w:rsidP="00D71FA8">
      <w:pPr>
        <w:pStyle w:val="ListParagraph"/>
        <w:widowControl w:val="0"/>
        <w:spacing w:after="240" w:line="240" w:lineRule="auto"/>
        <w:ind w:left="1440"/>
        <w:rPr>
          <w:rFonts w:ascii="Myriad Pro" w:hAnsi="Myriad Pro"/>
          <w:sz w:val="20"/>
          <w:szCs w:val="20"/>
          <w:lang w:val="es-ES_tradnl"/>
        </w:rPr>
      </w:pPr>
    </w:p>
    <w:p w14:paraId="00000004" w14:textId="3AF7AFC0" w:rsidR="00E56B5C" w:rsidRPr="005C1B1A" w:rsidRDefault="00F20D47" w:rsidP="00D71FA8">
      <w:pPr>
        <w:pStyle w:val="ListParagraph"/>
        <w:widowControl w:val="0"/>
        <w:numPr>
          <w:ilvl w:val="0"/>
          <w:numId w:val="4"/>
        </w:numPr>
        <w:spacing w:after="240" w:line="240" w:lineRule="auto"/>
        <w:rPr>
          <w:rFonts w:ascii="Myriad Pro" w:hAnsi="Myriad Pro"/>
          <w:sz w:val="24"/>
          <w:szCs w:val="24"/>
          <w:lang w:val="es-ES_tradnl"/>
        </w:rPr>
      </w:pPr>
      <w:r w:rsidRPr="005C1B1A">
        <w:rPr>
          <w:rFonts w:ascii="Myriad Pro" w:hAnsi="Myriad Pro"/>
          <w:sz w:val="24"/>
          <w:szCs w:val="24"/>
          <w:lang w:val="es-ES_tradnl"/>
        </w:rPr>
        <w:t>Una agencia no puede, de forma directa o a través de acuerdos contractuales o de otro tipo, utilizar criterios o métodos de administración que tengan el propósito o el efecto de discriminar por discapacidad, o que impidan o menoscaben sustancialmente el logro de los objetivos del programa o la actividad con respecto a las personas con discapacidad. 28 C.F.R. § 39.130(b)(3); 6 C.F.R. § 15.30(b)(4).</w:t>
      </w:r>
      <w:r w:rsidR="002B75F0" w:rsidRPr="005C1B1A">
        <w:rPr>
          <w:rFonts w:ascii="Myriad Pro" w:hAnsi="Myriad Pro"/>
          <w:sz w:val="24"/>
          <w:szCs w:val="24"/>
          <w:lang w:val="es-ES_tradnl"/>
        </w:rPr>
        <w:t xml:space="preserve"> </w:t>
      </w:r>
    </w:p>
    <w:p w14:paraId="4B686E0F" w14:textId="77777777" w:rsidR="00A04B47" w:rsidRPr="005C1B1A" w:rsidRDefault="00A04B47" w:rsidP="00D71FA8">
      <w:pPr>
        <w:pStyle w:val="ListParagraph"/>
        <w:spacing w:after="240"/>
        <w:rPr>
          <w:rFonts w:ascii="Myriad Pro" w:hAnsi="Myriad Pro"/>
          <w:sz w:val="20"/>
          <w:szCs w:val="20"/>
          <w:lang w:val="es-ES_tradnl"/>
        </w:rPr>
      </w:pPr>
    </w:p>
    <w:p w14:paraId="4863EA9F" w14:textId="581D2BE3" w:rsidR="00EB2730" w:rsidRPr="005C1B1A" w:rsidRDefault="00F20D47" w:rsidP="00D71FA8">
      <w:pPr>
        <w:pStyle w:val="ListParagraph"/>
        <w:widowControl w:val="0"/>
        <w:numPr>
          <w:ilvl w:val="1"/>
          <w:numId w:val="4"/>
        </w:numPr>
        <w:spacing w:after="240" w:line="240" w:lineRule="auto"/>
        <w:rPr>
          <w:rFonts w:ascii="Myriad Pro" w:hAnsi="Myriad Pro"/>
          <w:sz w:val="24"/>
          <w:szCs w:val="24"/>
          <w:lang w:val="es-ES_tradnl"/>
        </w:rPr>
      </w:pPr>
      <w:r w:rsidRPr="005C1B1A">
        <w:rPr>
          <w:rFonts w:ascii="Myriad Pro" w:hAnsi="Myriad Pro"/>
          <w:sz w:val="24"/>
          <w:szCs w:val="24"/>
          <w:lang w:val="es-ES_tradnl"/>
        </w:rPr>
        <w:t xml:space="preserve">Las normas que se aplican a los inmigrantes pueden analizarse para determinar si tienen el propósito o el efecto de excluir a las personas con discapacidad. Por </w:t>
      </w:r>
      <w:r w:rsidRPr="005C1B1A">
        <w:rPr>
          <w:rFonts w:ascii="Myriad Pro" w:hAnsi="Myriad Pro"/>
          <w:sz w:val="24"/>
          <w:szCs w:val="24"/>
          <w:lang w:val="es-ES_tradnl"/>
        </w:rPr>
        <w:lastRenderedPageBreak/>
        <w:t>ejemplo, la regla de carga pública, la cual se analiza más abajo, puede excluir por motivos de discapacidad a los inmigrantes que solicitan la tarjeta de residencia (Green Card)</w:t>
      </w:r>
      <w:r w:rsidR="00EB2730" w:rsidRPr="005C1B1A">
        <w:rPr>
          <w:rFonts w:ascii="Myriad Pro" w:hAnsi="Myriad Pro"/>
          <w:sz w:val="24"/>
          <w:szCs w:val="24"/>
          <w:lang w:val="es-ES_tradnl"/>
        </w:rPr>
        <w:t xml:space="preserve"> </w:t>
      </w:r>
    </w:p>
    <w:p w14:paraId="572A9E7A" w14:textId="77777777" w:rsidR="00EB2730" w:rsidRPr="005C1B1A" w:rsidRDefault="00EB2730" w:rsidP="00D71FA8">
      <w:pPr>
        <w:pStyle w:val="ListParagraph"/>
        <w:widowControl w:val="0"/>
        <w:spacing w:after="240" w:line="240" w:lineRule="auto"/>
        <w:ind w:left="1440"/>
        <w:rPr>
          <w:rFonts w:ascii="Myriad Pro" w:hAnsi="Myriad Pro"/>
          <w:sz w:val="20"/>
          <w:szCs w:val="20"/>
          <w:lang w:val="es-ES_tradnl"/>
        </w:rPr>
      </w:pPr>
    </w:p>
    <w:p w14:paraId="023B2C6F" w14:textId="10416739" w:rsidR="00522D59" w:rsidRPr="005C1B1A" w:rsidRDefault="00F20D47" w:rsidP="00D71FA8">
      <w:pPr>
        <w:pStyle w:val="ListParagraph"/>
        <w:widowControl w:val="0"/>
        <w:numPr>
          <w:ilvl w:val="1"/>
          <w:numId w:val="4"/>
        </w:numPr>
        <w:spacing w:after="240" w:line="240" w:lineRule="auto"/>
        <w:rPr>
          <w:rFonts w:ascii="Myriad Pro" w:hAnsi="Myriad Pro"/>
          <w:sz w:val="24"/>
          <w:szCs w:val="24"/>
          <w:lang w:val="es-ES_tradnl"/>
        </w:rPr>
      </w:pPr>
      <w:r w:rsidRPr="005C1B1A">
        <w:rPr>
          <w:rFonts w:ascii="Myriad Pro" w:hAnsi="Myriad Pro"/>
          <w:sz w:val="24"/>
          <w:szCs w:val="24"/>
          <w:lang w:val="es-ES_tradnl"/>
        </w:rPr>
        <w:t>Los tribunales pueden considerar este tipo de reclamos como discriminación por impacto dispar no intencionada. Tal como se describe más abajo, existe una divergencia entre los distintos circuitos judiciales sobre si la Sección 504 prohíbe la discriminación por impacto dispar no intencionada. En la práctica, los hechos pueden poner de manifiesto una discriminación intencionada y el incumplimiento de las adaptaciones razonables.</w:t>
      </w:r>
      <w:r w:rsidR="00A04B47" w:rsidRPr="005C1B1A">
        <w:rPr>
          <w:rFonts w:ascii="Myriad Pro" w:hAnsi="Myriad Pro"/>
          <w:sz w:val="24"/>
          <w:szCs w:val="24"/>
          <w:lang w:val="es-ES_tradnl"/>
        </w:rPr>
        <w:t xml:space="preserve"> </w:t>
      </w:r>
    </w:p>
    <w:p w14:paraId="0263F07C" w14:textId="33600463" w:rsidR="00B11B84" w:rsidRPr="005C1B1A" w:rsidRDefault="00F20D47" w:rsidP="00D71FA8">
      <w:pPr>
        <w:widowControl w:val="0"/>
        <w:spacing w:after="240"/>
        <w:rPr>
          <w:rFonts w:ascii="Myriad Pro" w:hAnsi="Myriad Pro"/>
          <w:lang w:val="es-ES_tradnl"/>
        </w:rPr>
      </w:pPr>
      <w:r w:rsidRPr="005C1B1A">
        <w:rPr>
          <w:rFonts w:ascii="Myriad Pro" w:hAnsi="Myriad Pro"/>
          <w:lang w:val="es-ES_tradnl"/>
        </w:rPr>
        <w:t>Las obligaciones afirmativas con respecto a las personas con discapacidad incluyen las siguientes:</w:t>
      </w:r>
    </w:p>
    <w:p w14:paraId="032D9001" w14:textId="0A45D7DC" w:rsidR="00B46BC5" w:rsidRPr="005C1B1A" w:rsidRDefault="00F20D47" w:rsidP="00D71FA8">
      <w:pPr>
        <w:pStyle w:val="ListParagraph"/>
        <w:widowControl w:val="0"/>
        <w:numPr>
          <w:ilvl w:val="0"/>
          <w:numId w:val="4"/>
        </w:numPr>
        <w:spacing w:after="240" w:line="240" w:lineRule="auto"/>
        <w:rPr>
          <w:rFonts w:ascii="Myriad Pro" w:hAnsi="Myriad Pro"/>
          <w:sz w:val="24"/>
          <w:szCs w:val="24"/>
          <w:lang w:val="es-ES_tradnl"/>
        </w:rPr>
      </w:pPr>
      <w:r w:rsidRPr="005C1B1A">
        <w:rPr>
          <w:rFonts w:ascii="Myriad Pro" w:hAnsi="Myriad Pro"/>
          <w:sz w:val="24"/>
          <w:szCs w:val="24"/>
          <w:lang w:val="es-ES_tradnl"/>
        </w:rPr>
        <w:t>Una agencia debe realizar adaptaciones razonables para las personas con discapacidad. Las adaptaciones razonables son aquellos cambios que la persona con discapacidad requiera para poder acceder de forma eficaz a un programa o actividad, o para evitar la discriminación por discapacidad.</w:t>
      </w:r>
      <w:r w:rsidR="00B46BC5" w:rsidRPr="005C1B1A">
        <w:rPr>
          <w:rStyle w:val="FootnoteReference"/>
          <w:rFonts w:ascii="Myriad Pro" w:hAnsi="Myriad Pro"/>
          <w:sz w:val="24"/>
          <w:szCs w:val="24"/>
          <w:lang w:val="es-ES_tradnl"/>
        </w:rPr>
        <w:footnoteReference w:id="5"/>
      </w:r>
      <w:r w:rsidR="00B46BC5" w:rsidRPr="005C1B1A">
        <w:rPr>
          <w:rFonts w:ascii="Myriad Pro" w:hAnsi="Myriad Pro"/>
          <w:sz w:val="24"/>
          <w:szCs w:val="24"/>
          <w:lang w:val="es-ES_tradnl"/>
        </w:rPr>
        <w:t xml:space="preserve"> </w:t>
      </w:r>
    </w:p>
    <w:p w14:paraId="3F80390F" w14:textId="18876AEF" w:rsidR="00EB2730" w:rsidRPr="005C1B1A" w:rsidRDefault="00EB2730" w:rsidP="00D71FA8">
      <w:pPr>
        <w:pStyle w:val="ListParagraph"/>
        <w:widowControl w:val="0"/>
        <w:spacing w:after="240" w:line="240" w:lineRule="auto"/>
        <w:ind w:left="1440"/>
        <w:rPr>
          <w:rFonts w:ascii="Myriad Pro" w:hAnsi="Myriad Pro"/>
          <w:sz w:val="20"/>
          <w:szCs w:val="20"/>
          <w:lang w:val="es-ES_tradnl"/>
        </w:rPr>
      </w:pPr>
    </w:p>
    <w:p w14:paraId="4A7E50E8" w14:textId="1243F747" w:rsidR="00EB2730" w:rsidRPr="005C1B1A" w:rsidRDefault="00F20D47" w:rsidP="00D71FA8">
      <w:pPr>
        <w:pStyle w:val="ListParagraph"/>
        <w:widowControl w:val="0"/>
        <w:numPr>
          <w:ilvl w:val="1"/>
          <w:numId w:val="4"/>
        </w:numPr>
        <w:spacing w:after="240" w:line="240" w:lineRule="auto"/>
        <w:rPr>
          <w:rFonts w:ascii="Myriad Pro" w:hAnsi="Myriad Pro"/>
          <w:sz w:val="24"/>
          <w:szCs w:val="24"/>
          <w:lang w:val="es-ES_tradnl"/>
        </w:rPr>
      </w:pPr>
      <w:r w:rsidRPr="005C1B1A">
        <w:rPr>
          <w:rFonts w:ascii="Myriad Pro" w:hAnsi="Myriad Pro"/>
          <w:sz w:val="24"/>
          <w:szCs w:val="24"/>
          <w:lang w:val="es-ES_tradnl"/>
        </w:rPr>
        <w:t>Las adaptaciones razonables pueden incluir muchos tipos diferentes de modificaciones y servicios, tales como intérpretes de lenguaje de señas, documentos en formatos alternativos, la participación de una persona de apoyo, tiempo adicional para responder a preguntas o cumplir con un requisito, modificaciones en un horario, la exención de un requisito y la designación de un representante calificado.</w:t>
      </w:r>
      <w:r w:rsidR="005B424B" w:rsidRPr="005C1B1A">
        <w:rPr>
          <w:rFonts w:ascii="Myriad Pro" w:hAnsi="Myriad Pro"/>
          <w:sz w:val="24"/>
          <w:szCs w:val="24"/>
          <w:lang w:val="es-ES_tradnl"/>
        </w:rPr>
        <w:t xml:space="preserve"> </w:t>
      </w:r>
    </w:p>
    <w:p w14:paraId="57B0664A" w14:textId="3F5735A1" w:rsidR="00AE188B" w:rsidRPr="005C1B1A" w:rsidRDefault="00AE188B" w:rsidP="00D71FA8">
      <w:pPr>
        <w:pStyle w:val="ListParagraph"/>
        <w:widowControl w:val="0"/>
        <w:spacing w:after="240" w:line="240" w:lineRule="auto"/>
        <w:ind w:left="1440"/>
        <w:rPr>
          <w:rFonts w:ascii="Myriad Pro" w:hAnsi="Myriad Pro"/>
          <w:sz w:val="20"/>
          <w:szCs w:val="20"/>
          <w:lang w:val="es-ES_tradnl"/>
        </w:rPr>
      </w:pPr>
    </w:p>
    <w:p w14:paraId="364DB979" w14:textId="1336F784" w:rsidR="00AE188B" w:rsidRPr="005C1B1A" w:rsidRDefault="0064490A" w:rsidP="00D71FA8">
      <w:pPr>
        <w:pStyle w:val="ListParagraph"/>
        <w:widowControl w:val="0"/>
        <w:numPr>
          <w:ilvl w:val="1"/>
          <w:numId w:val="4"/>
        </w:numPr>
        <w:spacing w:after="240" w:line="240" w:lineRule="auto"/>
        <w:rPr>
          <w:rFonts w:ascii="Myriad Pro" w:hAnsi="Myriad Pro"/>
          <w:sz w:val="24"/>
          <w:szCs w:val="24"/>
          <w:lang w:val="es-ES_tradnl"/>
        </w:rPr>
      </w:pPr>
      <w:r w:rsidRPr="005C1B1A">
        <w:rPr>
          <w:rFonts w:ascii="Myriad Pro" w:hAnsi="Myriad Pro"/>
          <w:sz w:val="24"/>
          <w:szCs w:val="24"/>
          <w:lang w:val="es-ES_tradnl"/>
        </w:rPr>
        <w:t>En el contexto de la detención, en el que los detenidos dependen de la institución para su cuidado diario, las adaptaciones razonables pueden incluir la asignación de alojamientos accesibles con baños y duchas adaptados, equipo como sillas de ducha, aparatos auditivos, sillas de ruedas y bastones, así como asistencia para la movilidad, la alimentación, el uso del baño y la higiene personal.</w:t>
      </w:r>
      <w:r w:rsidR="005A18C4" w:rsidRPr="005C1B1A">
        <w:rPr>
          <w:rStyle w:val="FootnoteReference"/>
          <w:rFonts w:ascii="Myriad Pro" w:hAnsi="Myriad Pro"/>
          <w:sz w:val="24"/>
          <w:szCs w:val="24"/>
          <w:lang w:val="es-ES_tradnl"/>
        </w:rPr>
        <w:footnoteReference w:id="6"/>
      </w:r>
    </w:p>
    <w:p w14:paraId="14A46339" w14:textId="77777777" w:rsidR="00E5016D" w:rsidRPr="005C1B1A" w:rsidRDefault="00E5016D" w:rsidP="00D71FA8">
      <w:pPr>
        <w:pStyle w:val="ListParagraph"/>
        <w:spacing w:after="240"/>
        <w:rPr>
          <w:rFonts w:ascii="Myriad Pro" w:hAnsi="Myriad Pro"/>
          <w:sz w:val="20"/>
          <w:szCs w:val="20"/>
          <w:lang w:val="es-ES_tradnl"/>
        </w:rPr>
      </w:pPr>
    </w:p>
    <w:p w14:paraId="05FA184F" w14:textId="37770BCF" w:rsidR="00B46BC5" w:rsidRPr="005C1B1A" w:rsidRDefault="0064490A" w:rsidP="00D71FA8">
      <w:pPr>
        <w:pStyle w:val="ListParagraph"/>
        <w:widowControl w:val="0"/>
        <w:numPr>
          <w:ilvl w:val="1"/>
          <w:numId w:val="4"/>
        </w:numPr>
        <w:spacing w:after="240" w:line="240" w:lineRule="auto"/>
        <w:rPr>
          <w:rFonts w:ascii="Myriad Pro" w:hAnsi="Myriad Pro"/>
          <w:sz w:val="24"/>
          <w:szCs w:val="24"/>
          <w:lang w:val="es-ES_tradnl"/>
        </w:rPr>
      </w:pPr>
      <w:r w:rsidRPr="005C1B1A">
        <w:rPr>
          <w:rFonts w:ascii="Myriad Pro" w:hAnsi="Myriad Pro"/>
          <w:sz w:val="24"/>
          <w:szCs w:val="24"/>
          <w:lang w:val="es-ES_tradnl"/>
        </w:rPr>
        <w:t xml:space="preserve">En algunos casos, por ejemplo, si un detenido con discapacidad sufre una descompensación debido a las condiciones de detención y, como resultado, no puede participar en su proceso de inmigración, podría considerarse una adaptación razonable permitir que se le transfiera a supervisión comunitaria </w:t>
      </w:r>
      <w:r w:rsidRPr="005C1B1A">
        <w:rPr>
          <w:rFonts w:ascii="Myriad Pro" w:hAnsi="Myriad Pro"/>
          <w:sz w:val="24"/>
          <w:szCs w:val="24"/>
          <w:lang w:val="es-ES_tradnl"/>
        </w:rPr>
        <w:lastRenderedPageBreak/>
        <w:t>con el fin de que se recupere lo suficiente para participar en su proceso. Esto dependería de los hechos y del análisis legal realizado por un experto en inmigración y derechos de las personas con discapacidad.</w:t>
      </w:r>
      <w:r w:rsidR="00D71FA8" w:rsidRPr="005C1B1A">
        <w:rPr>
          <w:rFonts w:ascii="Myriad Pro" w:hAnsi="Myriad Pro"/>
          <w:sz w:val="24"/>
          <w:szCs w:val="24"/>
          <w:lang w:val="es-ES_tradnl"/>
        </w:rPr>
        <w:br/>
      </w:r>
    </w:p>
    <w:p w14:paraId="12D10E97" w14:textId="4FFED00B" w:rsidR="00205475" w:rsidRPr="005C1B1A" w:rsidRDefault="002300D8" w:rsidP="00425BDA">
      <w:pPr>
        <w:pStyle w:val="ListParagraph"/>
        <w:widowControl w:val="0"/>
        <w:numPr>
          <w:ilvl w:val="0"/>
          <w:numId w:val="4"/>
        </w:numPr>
        <w:spacing w:after="240" w:line="240" w:lineRule="auto"/>
        <w:rPr>
          <w:rFonts w:ascii="Myriad Pro" w:hAnsi="Myriad Pro"/>
          <w:sz w:val="24"/>
          <w:szCs w:val="24"/>
          <w:lang w:val="es-ES_tradnl"/>
        </w:rPr>
      </w:pPr>
      <w:r w:rsidRPr="005C1B1A">
        <w:rPr>
          <w:rFonts w:ascii="Myriad Pro" w:hAnsi="Myriad Pro"/>
          <w:sz w:val="24"/>
          <w:szCs w:val="24"/>
          <w:lang w:val="es-ES_tradnl"/>
        </w:rPr>
        <w:t xml:space="preserve">Una agencia debe garantizar que sus comunicaciones con las personas con discapacidad sean eficaces. 28 C.F.R. § 39.160(a); 6 C.F.R. § 15.60(a); </w:t>
      </w:r>
      <w:r w:rsidRPr="005C1B1A">
        <w:rPr>
          <w:rFonts w:ascii="Myriad Pro" w:hAnsi="Myriad Pro"/>
          <w:i/>
          <w:iCs/>
          <w:sz w:val="24"/>
          <w:szCs w:val="24"/>
          <w:lang w:val="es-ES_tradnl"/>
        </w:rPr>
        <w:t>véase también</w:t>
      </w:r>
      <w:r w:rsidRPr="005C1B1A">
        <w:rPr>
          <w:rFonts w:ascii="Myriad Pro" w:hAnsi="Myriad Pro"/>
          <w:sz w:val="24"/>
          <w:szCs w:val="24"/>
          <w:lang w:val="es-ES_tradnl"/>
        </w:rPr>
        <w:t xml:space="preserve"> 45 C.F.R. § 84.77(a) (</w:t>
      </w:r>
      <w:r w:rsidR="0078616A">
        <w:rPr>
          <w:rFonts w:ascii="Myriad Pro" w:hAnsi="Myriad Pro"/>
          <w:sz w:val="24"/>
          <w:szCs w:val="24"/>
          <w:lang w:val="es-ES_tradnl"/>
        </w:rPr>
        <w:t>“</w:t>
      </w:r>
      <w:r w:rsidRPr="005C1B1A">
        <w:rPr>
          <w:rFonts w:ascii="Myriad Pro" w:hAnsi="Myriad Pro"/>
          <w:sz w:val="24"/>
          <w:szCs w:val="24"/>
          <w:lang w:val="es-ES_tradnl"/>
        </w:rPr>
        <w:t>El destinatario de fondos debe tomar las medidas adecuadas para garantizar que las comunicaciones con las personas con discapacidad sean tan eficaces como las comunicaciones con las demás personas</w:t>
      </w:r>
      <w:r w:rsidR="0078616A">
        <w:rPr>
          <w:rFonts w:ascii="Myriad Pro" w:hAnsi="Myriad Pro"/>
          <w:sz w:val="24"/>
          <w:szCs w:val="24"/>
          <w:lang w:val="es-ES_tradnl"/>
        </w:rPr>
        <w:t>”</w:t>
      </w:r>
      <w:r w:rsidRPr="005C1B1A">
        <w:rPr>
          <w:rFonts w:ascii="Myriad Pro" w:hAnsi="Myriad Pro"/>
          <w:sz w:val="24"/>
          <w:szCs w:val="24"/>
          <w:lang w:val="es-ES_tradnl"/>
        </w:rPr>
        <w:t>).</w:t>
      </w:r>
      <w:r w:rsidR="00531F3B" w:rsidRPr="005C1B1A">
        <w:rPr>
          <w:rFonts w:ascii="Myriad Pro" w:hAnsi="Myriad Pro"/>
          <w:sz w:val="24"/>
          <w:szCs w:val="24"/>
          <w:lang w:val="es-ES_tradnl"/>
        </w:rPr>
        <w:t xml:space="preserve"> </w:t>
      </w:r>
      <w:r w:rsidR="00425BDA" w:rsidRPr="005C1B1A">
        <w:rPr>
          <w:rFonts w:ascii="Myriad Pro" w:hAnsi="Myriad Pro"/>
          <w:sz w:val="24"/>
          <w:szCs w:val="24"/>
          <w:lang w:val="es-ES_tradnl"/>
        </w:rPr>
        <w:br/>
      </w:r>
    </w:p>
    <w:p w14:paraId="11F35F82" w14:textId="1AD1EB10" w:rsidR="009B513C" w:rsidRPr="005C1B1A" w:rsidRDefault="0039012A" w:rsidP="00D71FA8">
      <w:pPr>
        <w:pStyle w:val="ListParagraph"/>
        <w:widowControl w:val="0"/>
        <w:numPr>
          <w:ilvl w:val="1"/>
          <w:numId w:val="4"/>
        </w:numPr>
        <w:spacing w:after="240" w:line="240" w:lineRule="auto"/>
        <w:rPr>
          <w:rFonts w:ascii="Myriad Pro" w:hAnsi="Myriad Pro"/>
          <w:sz w:val="24"/>
          <w:szCs w:val="24"/>
          <w:lang w:val="es-ES_tradnl"/>
        </w:rPr>
      </w:pPr>
      <w:r w:rsidRPr="005C1B1A">
        <w:rPr>
          <w:rFonts w:ascii="Myriad Pro" w:hAnsi="Myriad Pro"/>
          <w:sz w:val="24"/>
          <w:szCs w:val="24"/>
          <w:lang w:val="es-ES_tradnl"/>
        </w:rPr>
        <w:t>Para lograr una comunicación eficaz entre las agencias de inmigración y las personas con discapacidad, podría ser necesario contar con interpretación de lenguaje de señas (incluidos equipos de interpretación de lenguaje de señas con intérpretes sordos), subtítulos en tiempo real, documentos en formatos alternativos (como letra grande, braille y formatos digitales), así como sitios web y aplicaciones que sean accesibles para lectores de pantalla y otras tecnologías de asistencia utilizadas por las personas con discapacidad.</w:t>
      </w:r>
      <w:r w:rsidR="009B513C" w:rsidRPr="005C1B1A">
        <w:rPr>
          <w:rFonts w:ascii="Myriad Pro" w:hAnsi="Myriad Pro"/>
          <w:sz w:val="24"/>
          <w:szCs w:val="24"/>
          <w:lang w:val="es-ES_tradnl"/>
        </w:rPr>
        <w:t xml:space="preserve"> </w:t>
      </w:r>
      <w:r w:rsidR="00D71FA8" w:rsidRPr="005C1B1A">
        <w:rPr>
          <w:rFonts w:ascii="Myriad Pro" w:hAnsi="Myriad Pro"/>
          <w:sz w:val="24"/>
          <w:szCs w:val="24"/>
          <w:lang w:val="es-ES_tradnl"/>
        </w:rPr>
        <w:br/>
      </w:r>
    </w:p>
    <w:p w14:paraId="0573945F" w14:textId="34ED6FDB" w:rsidR="005B424B" w:rsidRPr="005C1B1A" w:rsidRDefault="0039012A" w:rsidP="00D71FA8">
      <w:pPr>
        <w:pStyle w:val="ListParagraph"/>
        <w:widowControl w:val="0"/>
        <w:numPr>
          <w:ilvl w:val="0"/>
          <w:numId w:val="4"/>
        </w:numPr>
        <w:spacing w:after="240" w:line="240" w:lineRule="auto"/>
        <w:rPr>
          <w:rFonts w:ascii="Myriad Pro" w:hAnsi="Myriad Pro"/>
          <w:sz w:val="24"/>
          <w:szCs w:val="24"/>
          <w:lang w:val="es-ES_tradnl"/>
        </w:rPr>
      </w:pPr>
      <w:r w:rsidRPr="005C1B1A">
        <w:rPr>
          <w:rFonts w:ascii="Myriad Pro" w:hAnsi="Myriad Pro"/>
          <w:sz w:val="24"/>
          <w:szCs w:val="24"/>
          <w:lang w:val="es-ES_tradnl"/>
        </w:rPr>
        <w:t>Una agencia debe administrar sus programas y actividades en el entorno más integrado que sea apropiado para las necesidades de las personas con discapacidad. 28 C.F.R. § 39.130(d); 6 C.F.R. § 15.30(d).</w:t>
      </w:r>
    </w:p>
    <w:p w14:paraId="3E0FB26A" w14:textId="77777777" w:rsidR="005B424B" w:rsidRPr="005C1B1A" w:rsidRDefault="005B424B" w:rsidP="00D71FA8">
      <w:pPr>
        <w:pStyle w:val="ListParagraph"/>
        <w:widowControl w:val="0"/>
        <w:spacing w:after="240" w:line="240" w:lineRule="auto"/>
        <w:ind w:left="1440"/>
        <w:rPr>
          <w:rFonts w:ascii="Myriad Pro" w:hAnsi="Myriad Pro"/>
          <w:sz w:val="20"/>
          <w:szCs w:val="20"/>
          <w:lang w:val="es-ES_tradnl"/>
        </w:rPr>
      </w:pPr>
    </w:p>
    <w:p w14:paraId="7B3C654B" w14:textId="1F5B8A3C" w:rsidR="005B424B" w:rsidRPr="005C1B1A" w:rsidRDefault="0039012A" w:rsidP="00D71FA8">
      <w:pPr>
        <w:pStyle w:val="ListParagraph"/>
        <w:widowControl w:val="0"/>
        <w:numPr>
          <w:ilvl w:val="1"/>
          <w:numId w:val="4"/>
        </w:numPr>
        <w:spacing w:after="240" w:line="240" w:lineRule="auto"/>
        <w:rPr>
          <w:rFonts w:ascii="Myriad Pro" w:hAnsi="Myriad Pro"/>
          <w:sz w:val="24"/>
          <w:szCs w:val="24"/>
          <w:lang w:val="es-ES_tradnl"/>
        </w:rPr>
      </w:pPr>
      <w:r w:rsidRPr="005C1B1A">
        <w:rPr>
          <w:rFonts w:ascii="Myriad Pro" w:hAnsi="Myriad Pro"/>
          <w:sz w:val="24"/>
          <w:szCs w:val="24"/>
          <w:lang w:val="es-ES_tradnl"/>
        </w:rPr>
        <w:t xml:space="preserve">Esta obligación también se conoce como la decisión </w:t>
      </w:r>
      <w:r w:rsidRPr="005C1B1A">
        <w:rPr>
          <w:rFonts w:ascii="Myriad Pro" w:hAnsi="Myriad Pro"/>
          <w:i/>
          <w:iCs/>
          <w:sz w:val="24"/>
          <w:szCs w:val="24"/>
          <w:lang w:val="es-ES_tradnl"/>
        </w:rPr>
        <w:t>Olmstead</w:t>
      </w:r>
      <w:r w:rsidRPr="005C1B1A">
        <w:rPr>
          <w:rFonts w:ascii="Myriad Pro" w:hAnsi="Myriad Pro"/>
          <w:sz w:val="24"/>
          <w:szCs w:val="24"/>
          <w:lang w:val="es-ES_tradnl"/>
        </w:rPr>
        <w:t xml:space="preserve"> o el mandato de integración. Los funcionarios de inmigración podrían violar esta disposición si alojan a todas las personas con discapacidad en un centro de detención segregado o en una sección segregada de un centro de detención, especialmente si esto limita el acceso de los detenidos a los programas y servicios. También podrían violar esta disposición si otorgan a los detenidos con discapacidad un menor acceso en comparación con los demás a los programas que permiten a las personas vivir en la comunidad mientras se resuelve su caso de inmigración.</w:t>
      </w:r>
      <w:r w:rsidR="005B424B" w:rsidRPr="005C1B1A">
        <w:rPr>
          <w:rFonts w:ascii="Myriad Pro" w:hAnsi="Myriad Pro"/>
          <w:sz w:val="24"/>
          <w:szCs w:val="24"/>
          <w:lang w:val="es-ES_tradnl"/>
        </w:rPr>
        <w:t xml:space="preserve"> </w:t>
      </w:r>
    </w:p>
    <w:p w14:paraId="5FB3B8F4" w14:textId="77777777" w:rsidR="003A23EF" w:rsidRPr="005C1B1A" w:rsidRDefault="003A23EF" w:rsidP="00D71FA8">
      <w:pPr>
        <w:pStyle w:val="ListParagraph"/>
        <w:widowControl w:val="0"/>
        <w:spacing w:after="240" w:line="240" w:lineRule="auto"/>
        <w:ind w:left="1440"/>
        <w:rPr>
          <w:rFonts w:ascii="Myriad Pro" w:hAnsi="Myriad Pro"/>
          <w:sz w:val="20"/>
          <w:szCs w:val="20"/>
          <w:lang w:val="es-ES_tradnl"/>
        </w:rPr>
      </w:pPr>
    </w:p>
    <w:p w14:paraId="1B2A7062" w14:textId="47B5FE27" w:rsidR="00F30383" w:rsidRPr="005C1B1A" w:rsidRDefault="0039012A" w:rsidP="00F30383">
      <w:pPr>
        <w:pStyle w:val="ListParagraph"/>
        <w:widowControl w:val="0"/>
        <w:numPr>
          <w:ilvl w:val="0"/>
          <w:numId w:val="4"/>
        </w:numPr>
        <w:spacing w:after="240" w:line="240" w:lineRule="auto"/>
        <w:rPr>
          <w:rFonts w:ascii="Myriad Pro" w:hAnsi="Myriad Pro"/>
          <w:sz w:val="24"/>
          <w:szCs w:val="24"/>
          <w:lang w:val="es-ES_tradnl"/>
        </w:rPr>
      </w:pPr>
      <w:r w:rsidRPr="005C1B1A">
        <w:rPr>
          <w:rFonts w:ascii="Myriad Pro" w:hAnsi="Myriad Pro"/>
          <w:sz w:val="24"/>
          <w:szCs w:val="24"/>
          <w:lang w:val="es-ES_tradnl"/>
        </w:rPr>
        <w:t>Cualquier construcción nueva o alteración realizada por una agencia debe cumplir con los estándares de accesibilidad aplicables. 28 C.F.R. § 39.151; 6 C.F.R. § 15.51. Cada programa o actividad debe ser fácilmente accesible y utilizable por personas con discapacidad. 28 C.F.R. § 39.150; 6 C.F.R. § 15.50.</w:t>
      </w:r>
    </w:p>
    <w:p w14:paraId="327ECA38" w14:textId="2A29A313" w:rsidR="00B11B84" w:rsidRPr="005C1B1A" w:rsidRDefault="00634C7D" w:rsidP="00F30383">
      <w:pPr>
        <w:pStyle w:val="Heading2"/>
        <w:rPr>
          <w:lang w:val="es-ES_tradnl"/>
        </w:rPr>
      </w:pPr>
      <w:r w:rsidRPr="005C1B1A">
        <w:rPr>
          <w:lang w:val="es-ES_tradnl"/>
        </w:rPr>
        <w:t>Caso de estudio: Denegación de una adaptación razonable</w:t>
      </w:r>
    </w:p>
    <w:p w14:paraId="6CE97435" w14:textId="47CD4033" w:rsidR="00B11B84" w:rsidRPr="005C1B1A" w:rsidRDefault="00634C7D" w:rsidP="00D71FA8">
      <w:pPr>
        <w:widowControl w:val="0"/>
        <w:spacing w:after="240"/>
        <w:rPr>
          <w:rFonts w:ascii="Myriad Pro" w:hAnsi="Myriad Pro"/>
          <w:lang w:val="es-ES_tradnl"/>
        </w:rPr>
      </w:pPr>
      <w:r w:rsidRPr="005C1B1A">
        <w:rPr>
          <w:rFonts w:ascii="Myriad Pro" w:hAnsi="Myriad Pro"/>
          <w:lang w:val="es-ES_tradnl"/>
        </w:rPr>
        <w:t xml:space="preserve">En el caso </w:t>
      </w:r>
      <w:r w:rsidRPr="005C1B1A">
        <w:rPr>
          <w:rFonts w:ascii="Myriad Pro" w:hAnsi="Myriad Pro"/>
          <w:i/>
          <w:iCs/>
          <w:lang w:val="es-ES_tradnl"/>
        </w:rPr>
        <w:t>Avirmed v. DHS</w:t>
      </w:r>
      <w:r w:rsidRPr="005C1B1A">
        <w:rPr>
          <w:rFonts w:ascii="Myriad Pro" w:hAnsi="Myriad Pro"/>
          <w:lang w:val="es-ES_tradnl"/>
        </w:rPr>
        <w:t>, el tribunal analizó las barreras de comunicación que enfrentó un demandante sordo que se comunica mediante el lenguaje de señas mongol (</w:t>
      </w:r>
      <w:r w:rsidR="0078616A">
        <w:rPr>
          <w:rFonts w:ascii="Myriad Pro" w:hAnsi="Myriad Pro"/>
          <w:lang w:val="es-ES_tradnl"/>
        </w:rPr>
        <w:t>“</w:t>
      </w:r>
      <w:r w:rsidRPr="005C1B1A">
        <w:rPr>
          <w:rFonts w:ascii="Myriad Pro" w:hAnsi="Myriad Pro"/>
          <w:lang w:val="es-ES_tradnl"/>
        </w:rPr>
        <w:t>MSL</w:t>
      </w:r>
      <w:r w:rsidR="0078616A">
        <w:rPr>
          <w:rFonts w:ascii="Myriad Pro" w:hAnsi="Myriad Pro"/>
          <w:lang w:val="es-ES_tradnl"/>
        </w:rPr>
        <w:t>”</w:t>
      </w:r>
      <w:r w:rsidRPr="005C1B1A">
        <w:rPr>
          <w:rFonts w:ascii="Myriad Pro" w:hAnsi="Myriad Pro"/>
          <w:lang w:val="es-ES_tradnl"/>
        </w:rPr>
        <w:t xml:space="preserve">, por sus siglas en inglés) y el mongol escrito. Al demandante se le negó el uso del MSL en numerosos contextos, incluidos el momento de su arresto, las entrevistas, las evaluaciones médicas y de salud mental, la detención y los procesos de inmigración. Además, tuvo dificultades para comunicarse con sus abogados durante las videollamadas. El personal de detención impuso </w:t>
      </w:r>
      <w:r w:rsidRPr="005C1B1A">
        <w:rPr>
          <w:rFonts w:ascii="Myriad Pro" w:hAnsi="Myriad Pro"/>
          <w:lang w:val="es-ES_tradnl"/>
        </w:rPr>
        <w:lastRenderedPageBreak/>
        <w:t>un límite de tiempo de una hora para todos, a pesar de que el uso de un intérprete de MSL requería tiempo adicional.</w:t>
      </w:r>
      <w:r w:rsidR="002D7BFD" w:rsidRPr="005C1B1A">
        <w:rPr>
          <w:rFonts w:ascii="Myriad Pro" w:hAnsi="Myriad Pro"/>
          <w:lang w:val="es-ES_tradnl"/>
        </w:rPr>
        <w:t xml:space="preserve"> </w:t>
      </w:r>
    </w:p>
    <w:p w14:paraId="513C9A13" w14:textId="17D39CEE" w:rsidR="000D4663" w:rsidRPr="005C1B1A" w:rsidRDefault="00634C7D" w:rsidP="00D71FA8">
      <w:pPr>
        <w:widowControl w:val="0"/>
        <w:spacing w:after="240"/>
        <w:rPr>
          <w:rFonts w:ascii="Myriad Pro" w:hAnsi="Myriad Pro"/>
          <w:lang w:val="es-ES_tradnl"/>
        </w:rPr>
      </w:pPr>
      <w:r w:rsidRPr="005C1B1A">
        <w:rPr>
          <w:rFonts w:ascii="Myriad Pro" w:hAnsi="Myriad Pro"/>
          <w:lang w:val="es-ES_tradnl"/>
        </w:rPr>
        <w:t>El tribunal determinó que se le había denegado al demandante una adaptación razonable y ordenó a los demandados que garantizaran la presencia de un intérprete calificado de MSL en futuros procesos y audiencias, que repitieran las evaluaciones médicas y psicológicas del demandante con la asistencia de un intérprete de MSL, que ampliaran a tres horas el tiempo permitido para las videollamadas del demandante con sus abogados, y que permitieran a la hermana del demandante participar en los procesos. 2025 U.S. Dist. LEXIS 135888, en *14-20.</w:t>
      </w:r>
    </w:p>
    <w:p w14:paraId="6050FC8A" w14:textId="0F3D1649" w:rsidR="00B11B84" w:rsidRPr="005C1B1A" w:rsidRDefault="00634C7D" w:rsidP="00F30383">
      <w:pPr>
        <w:pStyle w:val="Heading2"/>
        <w:rPr>
          <w:lang w:val="es-ES_tradnl"/>
        </w:rPr>
      </w:pPr>
      <w:r w:rsidRPr="005C1B1A">
        <w:rPr>
          <w:lang w:val="es-ES_tradnl"/>
        </w:rPr>
        <w:t>Caso de estudio: Discriminación mediante métodos administrativos</w:t>
      </w:r>
      <w:r w:rsidR="000D4663" w:rsidRPr="005C1B1A">
        <w:rPr>
          <w:lang w:val="es-ES_tradnl"/>
        </w:rPr>
        <w:t xml:space="preserve"> </w:t>
      </w:r>
    </w:p>
    <w:p w14:paraId="5EEC3F0A" w14:textId="28709407" w:rsidR="00B11B84" w:rsidRPr="005C1B1A" w:rsidRDefault="00634C7D" w:rsidP="00D71FA8">
      <w:pPr>
        <w:widowControl w:val="0"/>
        <w:spacing w:after="240"/>
        <w:rPr>
          <w:rFonts w:ascii="Myriad Pro" w:hAnsi="Myriad Pro"/>
          <w:lang w:val="es-ES_tradnl"/>
        </w:rPr>
      </w:pPr>
      <w:r w:rsidRPr="005C1B1A">
        <w:rPr>
          <w:rFonts w:ascii="Myriad Pro" w:hAnsi="Myriad Pro"/>
          <w:lang w:val="es-ES_tradnl"/>
        </w:rPr>
        <w:t xml:space="preserve">Los inmigrantes que buscan ajustar su estatus deben demostrar que no constituyen una </w:t>
      </w:r>
      <w:r w:rsidR="0078616A">
        <w:rPr>
          <w:rFonts w:ascii="Myriad Pro" w:hAnsi="Myriad Pro"/>
          <w:lang w:val="es-ES_tradnl"/>
        </w:rPr>
        <w:t>“</w:t>
      </w:r>
      <w:r w:rsidRPr="005C1B1A">
        <w:rPr>
          <w:rFonts w:ascii="Myriad Pro" w:hAnsi="Myriad Pro"/>
          <w:lang w:val="es-ES_tradnl"/>
        </w:rPr>
        <w:t>carga pública</w:t>
      </w:r>
      <w:r w:rsidR="0078616A">
        <w:rPr>
          <w:rFonts w:ascii="Myriad Pro" w:hAnsi="Myriad Pro"/>
          <w:lang w:val="es-ES_tradnl"/>
        </w:rPr>
        <w:t>”</w:t>
      </w:r>
      <w:r w:rsidRPr="005C1B1A">
        <w:rPr>
          <w:rFonts w:ascii="Myriad Pro" w:hAnsi="Myriad Pro"/>
          <w:lang w:val="es-ES_tradnl"/>
        </w:rPr>
        <w:t>, según lo dispuesto en 8 U.S.C. § 1182(a)(4); es decir, que no es probable que lleguen a depender del gobierno para su subsistencia. En 2019, el DHS publicó una regla que consideraba la discapacidad y los factores estrechamente relacionados con ella (como recibir Medicaid) como factores negativos en la evaluación de la carga pública. Se presentaron demandas para impugnar la nueva regla por considerarla ilícita, lo que incluyó la violación de la Sección 504.</w:t>
      </w:r>
    </w:p>
    <w:p w14:paraId="6C40BC29" w14:textId="700B8DF6" w:rsidR="000D4663" w:rsidRPr="005C1B1A" w:rsidRDefault="00634C7D" w:rsidP="00D71FA8">
      <w:pPr>
        <w:widowControl w:val="0"/>
        <w:spacing w:after="240"/>
        <w:rPr>
          <w:rFonts w:ascii="Myriad Pro" w:hAnsi="Myriad Pro"/>
          <w:lang w:val="es-ES_tradnl"/>
        </w:rPr>
      </w:pPr>
      <w:r w:rsidRPr="005C1B1A">
        <w:rPr>
          <w:rFonts w:ascii="Myriad Pro" w:hAnsi="Myriad Pro"/>
          <w:lang w:val="es-ES_tradnl"/>
        </w:rPr>
        <w:t xml:space="preserve">El Distrito Sur de Nueva York falló a favor de los demandantes en sus reclamaciones basadas en la Sección 504. El tribunal citó diversas disposiciones normativas, incluida la prohibición de utilizar criterios discriminatorios o </w:t>
      </w:r>
      <w:r w:rsidR="0078616A">
        <w:rPr>
          <w:rFonts w:ascii="Myriad Pro" w:hAnsi="Myriad Pro"/>
          <w:lang w:val="es-ES_tradnl"/>
        </w:rPr>
        <w:t>“</w:t>
      </w:r>
      <w:r w:rsidRPr="005C1B1A">
        <w:rPr>
          <w:rFonts w:ascii="Myriad Pro" w:hAnsi="Myriad Pro"/>
          <w:lang w:val="es-ES_tradnl"/>
        </w:rPr>
        <w:t>métodos de administración</w:t>
      </w:r>
      <w:r w:rsidR="0078616A">
        <w:rPr>
          <w:rFonts w:ascii="Myriad Pro" w:hAnsi="Myriad Pro"/>
          <w:lang w:val="es-ES_tradnl"/>
        </w:rPr>
        <w:t>”</w:t>
      </w:r>
      <w:r w:rsidRPr="005C1B1A">
        <w:rPr>
          <w:rFonts w:ascii="Myriad Pro" w:hAnsi="Myriad Pro"/>
          <w:lang w:val="es-ES_tradnl"/>
        </w:rPr>
        <w:t xml:space="preserve"> que tengan como efecto la discriminación por discapacidad. </w:t>
      </w:r>
      <w:r w:rsidRPr="005C1B1A">
        <w:rPr>
          <w:rFonts w:ascii="Myriad Pro" w:hAnsi="Myriad Pro"/>
          <w:i/>
          <w:iCs/>
          <w:lang w:val="es-ES_tradnl"/>
        </w:rPr>
        <w:t>New York v. United States Dep</w:t>
      </w:r>
      <w:r w:rsidR="005C1B1A">
        <w:rPr>
          <w:rFonts w:ascii="Myriad Pro" w:hAnsi="Myriad Pro"/>
          <w:i/>
          <w:iCs/>
          <w:lang w:val="es-ES_tradnl"/>
        </w:rPr>
        <w:t>’</w:t>
      </w:r>
      <w:r w:rsidRPr="005C1B1A">
        <w:rPr>
          <w:rFonts w:ascii="Myriad Pro" w:hAnsi="Myriad Pro"/>
          <w:i/>
          <w:iCs/>
          <w:lang w:val="es-ES_tradnl"/>
        </w:rPr>
        <w:t>t of Homeland Sec.</w:t>
      </w:r>
      <w:r w:rsidRPr="005C1B1A">
        <w:rPr>
          <w:rFonts w:ascii="Myriad Pro" w:hAnsi="Myriad Pro"/>
          <w:lang w:val="es-ES_tradnl"/>
        </w:rPr>
        <w:t xml:space="preserve">, 408 F. Supp. 3d 334, 350 (S.D.N.Y. 2019) (citando 6 C.F.R. § 15.30(b)(4)); </w:t>
      </w:r>
      <w:r w:rsidRPr="005C1B1A">
        <w:rPr>
          <w:rFonts w:ascii="Myriad Pro" w:hAnsi="Myriad Pro"/>
          <w:i/>
          <w:iCs/>
          <w:lang w:val="es-ES_tradnl"/>
        </w:rPr>
        <w:t>Make the Rd. N.Y. v. Cuccinelli</w:t>
      </w:r>
      <w:r w:rsidRPr="005C1B1A">
        <w:rPr>
          <w:rFonts w:ascii="Myriad Pro" w:hAnsi="Myriad Pro"/>
          <w:lang w:val="es-ES_tradnl"/>
        </w:rPr>
        <w:t>, 419 F. Supp. 3d 647, 664 (S.D.N.Y. 2019) (lo mismo).</w:t>
      </w:r>
    </w:p>
    <w:p w14:paraId="61EB8EFE" w14:textId="335689CF" w:rsidR="000D4663" w:rsidRDefault="00384E44" w:rsidP="00D71FA8">
      <w:pPr>
        <w:widowControl w:val="0"/>
        <w:spacing w:after="240"/>
        <w:rPr>
          <w:rFonts w:ascii="Myriad Pro" w:hAnsi="Myriad Pro"/>
          <w:lang w:val="es-ES_tradnl"/>
        </w:rPr>
      </w:pPr>
      <w:r w:rsidRPr="005C1B1A">
        <w:rPr>
          <w:rFonts w:ascii="Myriad Pro" w:hAnsi="Myriad Pro"/>
          <w:i/>
          <w:iCs/>
          <w:lang w:val="es-ES_tradnl"/>
        </w:rPr>
        <w:t>Evolución posterior del caso:</w:t>
      </w:r>
      <w:r w:rsidR="000D4663" w:rsidRPr="005C1B1A">
        <w:rPr>
          <w:rFonts w:ascii="Myriad Pro" w:hAnsi="Myriad Pro"/>
          <w:lang w:val="es-ES_tradnl"/>
        </w:rPr>
        <w:t xml:space="preserve"> </w:t>
      </w:r>
      <w:r w:rsidRPr="005C1B1A">
        <w:rPr>
          <w:rFonts w:ascii="Myriad Pro" w:hAnsi="Myriad Pro"/>
          <w:lang w:val="es-ES_tradnl"/>
        </w:rPr>
        <w:t xml:space="preserve">En marzo de 2021, el litigio sobre la regla de </w:t>
      </w:r>
      <w:r w:rsidR="0078616A">
        <w:rPr>
          <w:rFonts w:ascii="Myriad Pro" w:hAnsi="Myriad Pro"/>
          <w:lang w:val="es-ES_tradnl"/>
        </w:rPr>
        <w:t>“</w:t>
      </w:r>
      <w:r w:rsidRPr="005C1B1A">
        <w:rPr>
          <w:rFonts w:ascii="Myriad Pro" w:hAnsi="Myriad Pro"/>
          <w:lang w:val="es-ES_tradnl"/>
        </w:rPr>
        <w:t>carga pública</w:t>
      </w:r>
      <w:r w:rsidR="0078616A">
        <w:rPr>
          <w:rFonts w:ascii="Myriad Pro" w:hAnsi="Myriad Pro"/>
          <w:lang w:val="es-ES_tradnl"/>
        </w:rPr>
        <w:t>”</w:t>
      </w:r>
      <w:r w:rsidRPr="005C1B1A">
        <w:rPr>
          <w:rFonts w:ascii="Myriad Pro" w:hAnsi="Myriad Pro"/>
          <w:lang w:val="es-ES_tradnl"/>
        </w:rPr>
        <w:t xml:space="preserve"> se resolvió cuando la administración de Biden se negó a defender la regla de 2019. En diciembre de 2022, la administración de Biden dio a conocer una nueva regla sobre la </w:t>
      </w:r>
      <w:r w:rsidR="0078616A">
        <w:rPr>
          <w:rFonts w:ascii="Myriad Pro" w:hAnsi="Myriad Pro"/>
          <w:lang w:val="es-ES_tradnl"/>
        </w:rPr>
        <w:t>“</w:t>
      </w:r>
      <w:r w:rsidRPr="005C1B1A">
        <w:rPr>
          <w:rFonts w:ascii="Myriad Pro" w:hAnsi="Myriad Pro"/>
          <w:lang w:val="es-ES_tradnl"/>
        </w:rPr>
        <w:t>carga pública</w:t>
      </w:r>
      <w:r w:rsidR="0078616A">
        <w:rPr>
          <w:rFonts w:ascii="Myriad Pro" w:hAnsi="Myriad Pro"/>
          <w:lang w:val="es-ES_tradnl"/>
        </w:rPr>
        <w:t>”</w:t>
      </w:r>
      <w:r w:rsidRPr="005C1B1A">
        <w:rPr>
          <w:rFonts w:ascii="Myriad Pro" w:hAnsi="Myriad Pro"/>
          <w:lang w:val="es-ES_tradnl"/>
        </w:rPr>
        <w:t xml:space="preserve"> que derogaba la regla de Trump y excluía como factores negativos la discapacidad y la participación en programas que no implican pagos en efectivo, como Medicaid. 87 Fed. Reg. 55472, 55521, 55474-75 (23 de diciembre de 2022). En noviembre de 2025, el DHS propuso una nueva regla que derogaría </w:t>
      </w:r>
      <w:r w:rsidR="0078616A">
        <w:rPr>
          <w:rFonts w:ascii="Myriad Pro" w:hAnsi="Myriad Pro"/>
          <w:lang w:val="es-ES_tradnl"/>
        </w:rPr>
        <w:t>“</w:t>
      </w:r>
      <w:r w:rsidRPr="005C1B1A">
        <w:rPr>
          <w:rFonts w:ascii="Myriad Pro" w:hAnsi="Myriad Pro"/>
          <w:lang w:val="es-ES_tradnl"/>
        </w:rPr>
        <w:t>todas las limitaciones reglamentarias sobre los tipos de recursos públicos que son relevantes para considerar</w:t>
      </w:r>
      <w:r w:rsidR="0078616A">
        <w:rPr>
          <w:rFonts w:ascii="Myriad Pro" w:hAnsi="Myriad Pro"/>
          <w:lang w:val="es-ES_tradnl"/>
        </w:rPr>
        <w:t>”</w:t>
      </w:r>
      <w:r w:rsidRPr="005C1B1A">
        <w:rPr>
          <w:rFonts w:ascii="Myriad Pro" w:hAnsi="Myriad Pro"/>
          <w:lang w:val="es-ES_tradnl"/>
        </w:rPr>
        <w:t xml:space="preserve"> si un inmigrante constituye una carga pública, otorgando a los funcionarios del DHS una discrecionalidad sustancial para tomar en cuenta Medicaid y otros programas no monetarios. 90 Fed. Reg. 52168, 52183-84, 52186 (19 de noviembre de 2025)</w:t>
      </w:r>
      <w:r w:rsidR="000D4663" w:rsidRPr="005C1B1A">
        <w:rPr>
          <w:rFonts w:ascii="Myriad Pro" w:hAnsi="Myriad Pro"/>
          <w:lang w:val="es-ES_tradnl"/>
        </w:rPr>
        <w:t>.</w:t>
      </w:r>
      <w:r w:rsidR="003173C4" w:rsidRPr="005C1B1A">
        <w:rPr>
          <w:rStyle w:val="FootnoteReference"/>
          <w:rFonts w:ascii="Myriad Pro" w:hAnsi="Myriad Pro"/>
          <w:lang w:val="es-ES_tradnl"/>
        </w:rPr>
        <w:footnoteReference w:id="7"/>
      </w:r>
      <w:r w:rsidR="000D4663" w:rsidRPr="005C1B1A">
        <w:rPr>
          <w:rFonts w:ascii="Myriad Pro" w:hAnsi="Myriad Pro"/>
          <w:lang w:val="es-ES_tradnl"/>
        </w:rPr>
        <w:t xml:space="preserve"> </w:t>
      </w:r>
      <w:r w:rsidRPr="005C1B1A">
        <w:rPr>
          <w:rFonts w:ascii="Myriad Pro" w:hAnsi="Myriad Pro"/>
          <w:lang w:val="es-ES_tradnl"/>
        </w:rPr>
        <w:t>Se prevé que se reanuden los litigios</w:t>
      </w:r>
      <w:r w:rsidR="000D4663" w:rsidRPr="005C1B1A">
        <w:rPr>
          <w:rFonts w:ascii="Myriad Pro" w:hAnsi="Myriad Pro"/>
          <w:lang w:val="es-ES_tradnl"/>
        </w:rPr>
        <w:t xml:space="preserve">. </w:t>
      </w:r>
    </w:p>
    <w:p w14:paraId="75031D7E" w14:textId="77777777" w:rsidR="000327B9" w:rsidRPr="005C1B1A" w:rsidRDefault="000327B9" w:rsidP="00D71FA8">
      <w:pPr>
        <w:widowControl w:val="0"/>
        <w:spacing w:after="240"/>
        <w:rPr>
          <w:rFonts w:ascii="Myriad Pro" w:hAnsi="Myriad Pro"/>
          <w:lang w:val="es-ES_tradnl"/>
        </w:rPr>
      </w:pPr>
    </w:p>
    <w:p w14:paraId="2EA93F4D" w14:textId="4B666817" w:rsidR="00E138BB" w:rsidRPr="005C1B1A" w:rsidRDefault="00384E44" w:rsidP="00F30383">
      <w:pPr>
        <w:pStyle w:val="Heading2"/>
        <w:rPr>
          <w:lang w:val="es-ES_tradnl"/>
        </w:rPr>
      </w:pPr>
      <w:r w:rsidRPr="005C1B1A">
        <w:rPr>
          <w:lang w:val="es-ES_tradnl"/>
        </w:rPr>
        <w:lastRenderedPageBreak/>
        <w:t>Divergencia entre tribunales de circuito: Discriminación involuntaria por discapacidad</w:t>
      </w:r>
    </w:p>
    <w:p w14:paraId="290B4C24" w14:textId="7D799FE5" w:rsidR="00E138BB" w:rsidRPr="005C1B1A" w:rsidRDefault="00384E44" w:rsidP="00D71FA8">
      <w:pPr>
        <w:widowControl w:val="0"/>
        <w:spacing w:after="240"/>
        <w:rPr>
          <w:rFonts w:ascii="Myriad Pro" w:hAnsi="Myriad Pro"/>
          <w:lang w:val="es-ES_tradnl"/>
        </w:rPr>
      </w:pPr>
      <w:r w:rsidRPr="005C1B1A">
        <w:rPr>
          <w:rFonts w:ascii="Myriad Pro" w:hAnsi="Myriad Pro"/>
          <w:lang w:val="es-ES_tradnl"/>
        </w:rPr>
        <w:t xml:space="preserve">La regla general es que la Sección 504 prohíbe toda forma de discriminación por discapacidad, independientemente de si es intencional o no. Véase, por ejemplo, </w:t>
      </w:r>
      <w:r w:rsidRPr="005C1B1A">
        <w:rPr>
          <w:rFonts w:ascii="Myriad Pro" w:hAnsi="Myriad Pro"/>
          <w:i/>
          <w:iCs/>
          <w:lang w:val="es-ES_tradnl"/>
        </w:rPr>
        <w:t>Doe v. CVS Pharmacy, Inc.</w:t>
      </w:r>
      <w:r w:rsidRPr="005C1B1A">
        <w:rPr>
          <w:rFonts w:ascii="Myriad Pro" w:hAnsi="Myriad Pro"/>
          <w:lang w:val="es-ES_tradnl"/>
        </w:rPr>
        <w:t>, 982 F.3d 1204, 1211 (9th Cir. 2020) (</w:t>
      </w:r>
      <w:r w:rsidR="0078616A">
        <w:rPr>
          <w:rFonts w:ascii="Myriad Pro" w:hAnsi="Myriad Pro"/>
          <w:lang w:val="es-ES_tradnl"/>
        </w:rPr>
        <w:t>“</w:t>
      </w:r>
      <w:r w:rsidRPr="005C1B1A">
        <w:rPr>
          <w:rFonts w:ascii="Myriad Pro" w:hAnsi="Myriad Pro"/>
          <w:lang w:val="es-ES_tradnl"/>
        </w:rPr>
        <w:t>El hecho de que el beneficio sea aparentemente neutral no descarta una reclamación por impacto dispar basada en la falta de acceso significativo</w:t>
      </w:r>
      <w:r w:rsidR="0078616A">
        <w:rPr>
          <w:rFonts w:ascii="Myriad Pro" w:hAnsi="Myriad Pro"/>
          <w:lang w:val="es-ES_tradnl"/>
        </w:rPr>
        <w:t>”</w:t>
      </w:r>
      <w:r w:rsidRPr="005C1B1A">
        <w:rPr>
          <w:rFonts w:ascii="Myriad Pro" w:hAnsi="Myriad Pro"/>
          <w:lang w:val="es-ES_tradnl"/>
        </w:rPr>
        <w:t xml:space="preserve">); </w:t>
      </w:r>
      <w:r w:rsidRPr="005C1B1A">
        <w:rPr>
          <w:rFonts w:ascii="Myriad Pro" w:hAnsi="Myriad Pro"/>
          <w:i/>
          <w:iCs/>
          <w:lang w:val="es-ES_tradnl"/>
        </w:rPr>
        <w:t>New York v. United States Dep</w:t>
      </w:r>
      <w:r w:rsidR="005C1B1A">
        <w:rPr>
          <w:rFonts w:ascii="Myriad Pro" w:hAnsi="Myriad Pro"/>
          <w:i/>
          <w:iCs/>
          <w:lang w:val="es-ES_tradnl"/>
        </w:rPr>
        <w:t>’</w:t>
      </w:r>
      <w:r w:rsidRPr="005C1B1A">
        <w:rPr>
          <w:rFonts w:ascii="Myriad Pro" w:hAnsi="Myriad Pro"/>
          <w:i/>
          <w:iCs/>
          <w:lang w:val="es-ES_tradnl"/>
        </w:rPr>
        <w:t>t of Homeland Sec.</w:t>
      </w:r>
      <w:r w:rsidRPr="005C1B1A">
        <w:rPr>
          <w:rFonts w:ascii="Myriad Pro" w:hAnsi="Myriad Pro"/>
          <w:lang w:val="es-ES_tradnl"/>
        </w:rPr>
        <w:t>, 408 F. Supp. 3d 334, 349-50 (S.D.N.Y. 2019) (</w:t>
      </w:r>
      <w:r w:rsidR="0078616A">
        <w:rPr>
          <w:rFonts w:ascii="Myriad Pro" w:hAnsi="Myriad Pro"/>
          <w:lang w:val="es-ES_tradnl"/>
        </w:rPr>
        <w:t>“</w:t>
      </w:r>
      <w:r w:rsidRPr="005C1B1A">
        <w:rPr>
          <w:rFonts w:ascii="Myriad Pro" w:hAnsi="Myriad Pro"/>
          <w:lang w:val="es-ES_tradnl"/>
        </w:rPr>
        <w:t>La exclusión o la discriminación pueden adoptar la forma de trato dispar, impacto dispar o el incumplimiento de realizar adaptaciones razonables</w:t>
      </w:r>
      <w:r w:rsidR="0078616A">
        <w:rPr>
          <w:rFonts w:ascii="Myriad Pro" w:hAnsi="Myriad Pro"/>
          <w:lang w:val="es-ES_tradnl"/>
        </w:rPr>
        <w:t>”</w:t>
      </w:r>
      <w:r w:rsidRPr="005C1B1A">
        <w:rPr>
          <w:rFonts w:ascii="Myriad Pro" w:hAnsi="Myriad Pro"/>
          <w:lang w:val="es-ES_tradnl"/>
        </w:rPr>
        <w:t xml:space="preserve">) (cita omitida); véase también </w:t>
      </w:r>
      <w:r w:rsidRPr="005C1B1A">
        <w:rPr>
          <w:rFonts w:ascii="Myriad Pro" w:hAnsi="Myriad Pro"/>
          <w:i/>
          <w:iCs/>
          <w:lang w:val="es-ES_tradnl"/>
        </w:rPr>
        <w:t>Alexander v. Choate</w:t>
      </w:r>
      <w:r w:rsidRPr="005C1B1A">
        <w:rPr>
          <w:rFonts w:ascii="Myriad Pro" w:hAnsi="Myriad Pro"/>
          <w:lang w:val="es-ES_tradnl"/>
        </w:rPr>
        <w:t xml:space="preserve">, 469 U.S. 287, 296-97, 299 (1985) (suponiendo, sin pronunciarse al respecto, que la § 504 abarca al menos algunas conductas que tienen un impacto dispar injustificable sobre las personas con discapacidad, y señalando que </w:t>
      </w:r>
      <w:r w:rsidR="0078616A">
        <w:rPr>
          <w:rFonts w:ascii="Myriad Pro" w:hAnsi="Myriad Pro"/>
          <w:lang w:val="es-ES_tradnl"/>
        </w:rPr>
        <w:t>“</w:t>
      </w:r>
      <w:r w:rsidRPr="005C1B1A">
        <w:rPr>
          <w:rFonts w:ascii="Myriad Pro" w:hAnsi="Myriad Pro"/>
          <w:lang w:val="es-ES_tradnl"/>
        </w:rPr>
        <w:t>gran parte de las conductas que el Congreso pretendía modificar al aprobar la Ley de Rehabilitación serían difíciles, si no imposibles, de abordar si se interpretara que la Ley solo prohíbe las conductas motivadas por una intención discriminatoria</w:t>
      </w:r>
      <w:r w:rsidR="0078616A">
        <w:rPr>
          <w:rFonts w:ascii="Myriad Pro" w:hAnsi="Myriad Pro"/>
          <w:lang w:val="es-ES_tradnl"/>
        </w:rPr>
        <w:t>”</w:t>
      </w:r>
      <w:r w:rsidRPr="005C1B1A">
        <w:rPr>
          <w:rFonts w:ascii="Myriad Pro" w:hAnsi="Myriad Pro"/>
          <w:lang w:val="es-ES_tradnl"/>
        </w:rPr>
        <w:t>).</w:t>
      </w:r>
      <w:r w:rsidR="00E138BB" w:rsidRPr="005C1B1A">
        <w:rPr>
          <w:rFonts w:ascii="Myriad Pro" w:hAnsi="Myriad Pro"/>
          <w:lang w:val="es-ES_tradnl"/>
        </w:rPr>
        <w:t xml:space="preserve"> </w:t>
      </w:r>
    </w:p>
    <w:p w14:paraId="6980EC3E" w14:textId="49DF93CB" w:rsidR="00E138BB" w:rsidRPr="005C1B1A" w:rsidRDefault="000822F2" w:rsidP="00D71FA8">
      <w:pPr>
        <w:widowControl w:val="0"/>
        <w:spacing w:after="240"/>
        <w:rPr>
          <w:rFonts w:ascii="Myriad Pro" w:hAnsi="Myriad Pro"/>
          <w:lang w:val="es-ES_tradnl"/>
        </w:rPr>
      </w:pPr>
      <w:r w:rsidRPr="005C1B1A">
        <w:rPr>
          <w:rFonts w:ascii="Myriad Pro" w:hAnsi="Myriad Pro"/>
          <w:lang w:val="es-ES_tradnl"/>
        </w:rPr>
        <w:t xml:space="preserve">El Sexto Circuito ha dictaminado que la Sección 504 no prohíbe la discriminación por </w:t>
      </w:r>
      <w:r w:rsidR="0078616A">
        <w:rPr>
          <w:rFonts w:ascii="Myriad Pro" w:hAnsi="Myriad Pro"/>
          <w:lang w:val="es-ES_tradnl"/>
        </w:rPr>
        <w:t>“</w:t>
      </w:r>
      <w:r w:rsidRPr="005C1B1A">
        <w:rPr>
          <w:rFonts w:ascii="Myriad Pro" w:hAnsi="Myriad Pro"/>
          <w:lang w:val="es-ES_tradnl"/>
        </w:rPr>
        <w:t>impacto dispar</w:t>
      </w:r>
      <w:r w:rsidR="0078616A">
        <w:rPr>
          <w:rFonts w:ascii="Myriad Pro" w:hAnsi="Myriad Pro"/>
          <w:lang w:val="es-ES_tradnl"/>
        </w:rPr>
        <w:t>”</w:t>
      </w:r>
      <w:r w:rsidRPr="005C1B1A">
        <w:rPr>
          <w:rFonts w:ascii="Myriad Pro" w:hAnsi="Myriad Pro"/>
          <w:lang w:val="es-ES_tradnl"/>
        </w:rPr>
        <w:t xml:space="preserve">. </w:t>
      </w:r>
      <w:r w:rsidRPr="005C1B1A">
        <w:rPr>
          <w:rFonts w:ascii="Myriad Pro" w:hAnsi="Myriad Pro"/>
          <w:i/>
          <w:iCs/>
          <w:lang w:val="es-ES_tradnl"/>
        </w:rPr>
        <w:t>Doe v. BlueCross BlueShield of Tenn., Inc.</w:t>
      </w:r>
      <w:r w:rsidRPr="005C1B1A">
        <w:rPr>
          <w:rFonts w:ascii="Myriad Pro" w:hAnsi="Myriad Pro"/>
          <w:lang w:val="es-ES_tradnl"/>
        </w:rPr>
        <w:t>, 926 F.3d 235, 241 (6th Cir. 2019).</w:t>
      </w:r>
      <w:r w:rsidR="00E138BB" w:rsidRPr="005C1B1A">
        <w:rPr>
          <w:rFonts w:ascii="Myriad Pro" w:hAnsi="Myriad Pro"/>
          <w:lang w:val="es-ES_tradnl"/>
        </w:rPr>
        <w:t xml:space="preserve"> </w:t>
      </w:r>
    </w:p>
    <w:p w14:paraId="55886F39" w14:textId="59E74914" w:rsidR="00E138BB" w:rsidRPr="005C1B1A" w:rsidRDefault="000822F2" w:rsidP="00D71FA8">
      <w:pPr>
        <w:widowControl w:val="0"/>
        <w:spacing w:after="240"/>
        <w:rPr>
          <w:rFonts w:ascii="Myriad Pro" w:hAnsi="Myriad Pro"/>
          <w:lang w:val="es-ES_tradnl"/>
        </w:rPr>
      </w:pPr>
      <w:r w:rsidRPr="005C1B1A">
        <w:rPr>
          <w:rFonts w:ascii="Myriad Pro" w:hAnsi="Myriad Pro"/>
          <w:lang w:val="es-ES_tradnl"/>
        </w:rPr>
        <w:t>En la práctica, las acciones y omisiones que discriminan por motivos de discapacidad suelen violar más de una de estas prohibiciones, ya que están interrelacionadas. En otras palabras, los defensores de los derechos a menudo pueden impugnar las acciones y omisiones de las entidades de inmigración como discriminación intencional por discapacidad y como un incumplimiento de realizar adaptaciones razonables, sin necesidad de alegar discriminación no intencional o por impacto dispar.</w:t>
      </w:r>
      <w:r w:rsidR="00E138BB" w:rsidRPr="005C1B1A">
        <w:rPr>
          <w:rFonts w:ascii="Myriad Pro" w:hAnsi="Myriad Pro"/>
          <w:lang w:val="es-ES_tradnl"/>
        </w:rPr>
        <w:t xml:space="preserve"> </w:t>
      </w:r>
    </w:p>
    <w:p w14:paraId="1E67BF75" w14:textId="46EFAAFE" w:rsidR="00B11B84" w:rsidRPr="005C1B1A" w:rsidRDefault="000822F2" w:rsidP="00425BDA">
      <w:pPr>
        <w:pStyle w:val="Heading1"/>
        <w:rPr>
          <w:lang w:val="es-ES_tradnl"/>
        </w:rPr>
      </w:pPr>
      <w:r w:rsidRPr="005C1B1A">
        <w:rPr>
          <w:lang w:val="es-ES_tradnl"/>
        </w:rPr>
        <w:t xml:space="preserve">Requisito: La persona debe estar </w:t>
      </w:r>
      <w:r w:rsidR="0078616A">
        <w:rPr>
          <w:lang w:val="es-ES_tradnl"/>
        </w:rPr>
        <w:t>“</w:t>
      </w:r>
      <w:r w:rsidRPr="005C1B1A">
        <w:rPr>
          <w:lang w:val="es-ES_tradnl"/>
        </w:rPr>
        <w:t>calificada</w:t>
      </w:r>
      <w:r w:rsidR="0078616A">
        <w:rPr>
          <w:lang w:val="es-ES_tradnl"/>
        </w:rPr>
        <w:t>”</w:t>
      </w:r>
    </w:p>
    <w:p w14:paraId="41E74832" w14:textId="215682E3" w:rsidR="000370EB" w:rsidRPr="005C1B1A" w:rsidRDefault="000822F2" w:rsidP="00D71FA8">
      <w:pPr>
        <w:widowControl w:val="0"/>
        <w:spacing w:after="240"/>
        <w:rPr>
          <w:rFonts w:ascii="Myriad Pro" w:hAnsi="Myriad Pro"/>
          <w:lang w:val="es-ES_tradnl"/>
        </w:rPr>
      </w:pPr>
      <w:r w:rsidRPr="005C1B1A">
        <w:rPr>
          <w:rFonts w:ascii="Myriad Pro" w:hAnsi="Myriad Pro"/>
          <w:lang w:val="es-ES_tradnl"/>
        </w:rPr>
        <w:t xml:space="preserve">La persona con discapacidad debe estar </w:t>
      </w:r>
      <w:r w:rsidR="0078616A">
        <w:rPr>
          <w:rFonts w:ascii="Myriad Pro" w:hAnsi="Myriad Pro"/>
          <w:lang w:val="es-ES_tradnl"/>
        </w:rPr>
        <w:t>“</w:t>
      </w:r>
      <w:r w:rsidRPr="005C1B1A">
        <w:rPr>
          <w:rFonts w:ascii="Myriad Pro" w:hAnsi="Myriad Pro"/>
          <w:lang w:val="es-ES_tradnl"/>
        </w:rPr>
        <w:t>calificada</w:t>
      </w:r>
      <w:r w:rsidR="0078616A">
        <w:rPr>
          <w:rFonts w:ascii="Myriad Pro" w:hAnsi="Myriad Pro"/>
          <w:lang w:val="es-ES_tradnl"/>
        </w:rPr>
        <w:t>”</w:t>
      </w:r>
      <w:r w:rsidRPr="005C1B1A">
        <w:rPr>
          <w:rFonts w:ascii="Myriad Pro" w:hAnsi="Myriad Pro"/>
          <w:lang w:val="es-ES_tradnl"/>
        </w:rPr>
        <w:t xml:space="preserve"> para presentar una reclamación en virtud de la Sección 504. Esto significa que la persona con discapacidad </w:t>
      </w:r>
      <w:r w:rsidR="0078616A">
        <w:rPr>
          <w:rFonts w:ascii="Myriad Pro" w:hAnsi="Myriad Pro"/>
          <w:lang w:val="es-ES_tradnl"/>
        </w:rPr>
        <w:t>“</w:t>
      </w:r>
      <w:r w:rsidRPr="005C1B1A">
        <w:rPr>
          <w:rFonts w:ascii="Myriad Pro" w:hAnsi="Myriad Pro"/>
          <w:lang w:val="es-ES_tradnl"/>
        </w:rPr>
        <w:t>cumple con los requisitos esenciales de elegibilidad y puede alcanzar el objetivo del programa o la actividad sin que sea necesario realizar modificaciones en el programa o la actividad que, según pueda demostrar el Departamento, darían lugar a una alteración fundamental en la naturaleza del programa</w:t>
      </w:r>
      <w:r w:rsidR="0078616A">
        <w:rPr>
          <w:rFonts w:ascii="Myriad Pro" w:hAnsi="Myriad Pro"/>
          <w:lang w:val="es-ES_tradnl"/>
        </w:rPr>
        <w:t>”</w:t>
      </w:r>
      <w:r w:rsidRPr="005C1B1A">
        <w:rPr>
          <w:rFonts w:ascii="Myriad Pro" w:hAnsi="Myriad Pro"/>
          <w:lang w:val="es-ES_tradnl"/>
        </w:rPr>
        <w:t>. 28 C.F.R. § 39.103; 6 C.F.R. § 15.3(e)(2).</w:t>
      </w:r>
      <w:r w:rsidR="00BC1E78" w:rsidRPr="005C1B1A">
        <w:rPr>
          <w:rFonts w:ascii="Myriad Pro" w:hAnsi="Myriad Pro"/>
          <w:lang w:val="es-ES_tradnl"/>
        </w:rPr>
        <w:t xml:space="preserve"> </w:t>
      </w:r>
    </w:p>
    <w:p w14:paraId="6AB49C9F" w14:textId="595B59DD" w:rsidR="00F30383" w:rsidRPr="005C1B1A" w:rsidRDefault="000822F2" w:rsidP="00D71FA8">
      <w:pPr>
        <w:widowControl w:val="0"/>
        <w:spacing w:after="240"/>
        <w:rPr>
          <w:rFonts w:ascii="Myriad Pro" w:hAnsi="Myriad Pro"/>
          <w:lang w:val="es-ES_tradnl"/>
        </w:rPr>
      </w:pPr>
      <w:r w:rsidRPr="005C1B1A">
        <w:rPr>
          <w:rFonts w:ascii="Myriad Pro" w:hAnsi="Myriad Pro"/>
          <w:lang w:val="es-ES_tradnl"/>
        </w:rPr>
        <w:t>En el contexto de la inmigración, este requisito puede referirse a si la persona está calificada o es elegible para recibir distintos estatus, tales como la exención de la detención, el asilo, el ajuste de estatus o la naturalización. También puede referirse a si la persona está calificada o es elegible para participar en procesos como evaluaciones de competencia y audiencias de inmigración, o en actividades cotidianas durante la detención, como llamadas telefónicas, reuniones con abogados, correspondencia, alimentación, agua y alojamiento.</w:t>
      </w:r>
    </w:p>
    <w:p w14:paraId="620A3F01" w14:textId="66495A94" w:rsidR="000E7ACB" w:rsidRPr="005C1B1A" w:rsidRDefault="000822F2" w:rsidP="00F30383">
      <w:pPr>
        <w:pStyle w:val="Heading2"/>
        <w:rPr>
          <w:lang w:val="es-ES_tradnl"/>
        </w:rPr>
      </w:pPr>
      <w:r w:rsidRPr="005C1B1A">
        <w:rPr>
          <w:lang w:val="es-ES_tradnl"/>
        </w:rPr>
        <w:t xml:space="preserve">Ejemplo práctico: Persona </w:t>
      </w:r>
      <w:r w:rsidR="0078616A">
        <w:rPr>
          <w:lang w:val="es-ES_tradnl"/>
        </w:rPr>
        <w:t>“</w:t>
      </w:r>
      <w:r w:rsidRPr="005C1B1A">
        <w:rPr>
          <w:lang w:val="es-ES_tradnl"/>
        </w:rPr>
        <w:t>calificada</w:t>
      </w:r>
      <w:r w:rsidR="0078616A">
        <w:rPr>
          <w:lang w:val="es-ES_tradnl"/>
        </w:rPr>
        <w:t>”</w:t>
      </w:r>
    </w:p>
    <w:p w14:paraId="1AE9CD58" w14:textId="61B894D4" w:rsidR="00B11B84" w:rsidRPr="005C1B1A" w:rsidRDefault="000822F2" w:rsidP="00D71FA8">
      <w:pPr>
        <w:widowControl w:val="0"/>
        <w:spacing w:after="240"/>
        <w:rPr>
          <w:rFonts w:ascii="Myriad Pro" w:hAnsi="Myriad Pro"/>
          <w:bdr w:val="none" w:sz="0" w:space="0" w:color="auto" w:frame="1"/>
          <w:lang w:val="es-ES_tradnl"/>
        </w:rPr>
      </w:pPr>
      <w:r w:rsidRPr="005C1B1A">
        <w:rPr>
          <w:rFonts w:ascii="Myriad Pro" w:hAnsi="Myriad Pro"/>
          <w:bdr w:val="none" w:sz="0" w:space="0" w:color="auto" w:frame="1"/>
          <w:lang w:val="es-ES_tradnl"/>
        </w:rPr>
        <w:t xml:space="preserve">En el caso </w:t>
      </w:r>
      <w:r w:rsidRPr="005C1B1A">
        <w:rPr>
          <w:rFonts w:ascii="Myriad Pro" w:hAnsi="Myriad Pro"/>
          <w:i/>
          <w:iCs/>
          <w:bdr w:val="none" w:sz="0" w:space="0" w:color="auto" w:frame="1"/>
          <w:lang w:val="es-ES_tradnl"/>
        </w:rPr>
        <w:t>Galvez-Letona v. Kirkpatrick</w:t>
      </w:r>
      <w:r w:rsidRPr="005C1B1A">
        <w:rPr>
          <w:rFonts w:ascii="Myriad Pro" w:hAnsi="Myriad Pro"/>
          <w:bdr w:val="none" w:sz="0" w:space="0" w:color="auto" w:frame="1"/>
          <w:lang w:val="es-ES_tradnl"/>
        </w:rPr>
        <w:t xml:space="preserve">, 54 F. Supp. 2d 1218, 1225 (D. Utah 1999), confirmado </w:t>
      </w:r>
      <w:r w:rsidRPr="005C1B1A">
        <w:rPr>
          <w:rFonts w:ascii="Myriad Pro" w:hAnsi="Myriad Pro"/>
          <w:bdr w:val="none" w:sz="0" w:space="0" w:color="auto" w:frame="1"/>
          <w:lang w:val="es-ES_tradnl"/>
        </w:rPr>
        <w:lastRenderedPageBreak/>
        <w:t xml:space="preserve">por otros motivos, 246 F.3d 680 (10th Cir. 2001), el tribunal de distrito examinó 28 C.F.R. § 39.103 y razonó que una persona con discapacidad se considera </w:t>
      </w:r>
      <w:r w:rsidR="0078616A">
        <w:rPr>
          <w:rFonts w:ascii="Myriad Pro" w:hAnsi="Myriad Pro"/>
          <w:bdr w:val="none" w:sz="0" w:space="0" w:color="auto" w:frame="1"/>
          <w:lang w:val="es-ES_tradnl"/>
        </w:rPr>
        <w:t>“</w:t>
      </w:r>
      <w:r w:rsidRPr="005C1B1A">
        <w:rPr>
          <w:rFonts w:ascii="Myriad Pro" w:hAnsi="Myriad Pro"/>
          <w:bdr w:val="none" w:sz="0" w:space="0" w:color="auto" w:frame="1"/>
          <w:lang w:val="es-ES_tradnl"/>
        </w:rPr>
        <w:t>calificada</w:t>
      </w:r>
      <w:r w:rsidR="0078616A">
        <w:rPr>
          <w:rFonts w:ascii="Myriad Pro" w:hAnsi="Myriad Pro"/>
          <w:bdr w:val="none" w:sz="0" w:space="0" w:color="auto" w:frame="1"/>
          <w:lang w:val="es-ES_tradnl"/>
        </w:rPr>
        <w:t>”</w:t>
      </w:r>
      <w:r w:rsidRPr="005C1B1A">
        <w:rPr>
          <w:rFonts w:ascii="Myriad Pro" w:hAnsi="Myriad Pro"/>
          <w:bdr w:val="none" w:sz="0" w:space="0" w:color="auto" w:frame="1"/>
          <w:lang w:val="es-ES_tradnl"/>
        </w:rPr>
        <w:t xml:space="preserve"> si </w:t>
      </w:r>
      <w:r w:rsidR="0078616A">
        <w:rPr>
          <w:rFonts w:ascii="Myriad Pro" w:hAnsi="Myriad Pro"/>
          <w:bdr w:val="none" w:sz="0" w:space="0" w:color="auto" w:frame="1"/>
          <w:lang w:val="es-ES_tradnl"/>
        </w:rPr>
        <w:t>“</w:t>
      </w:r>
      <w:r w:rsidRPr="005C1B1A">
        <w:rPr>
          <w:rFonts w:ascii="Myriad Pro" w:hAnsi="Myriad Pro"/>
          <w:bdr w:val="none" w:sz="0" w:space="0" w:color="auto" w:frame="1"/>
          <w:lang w:val="es-ES_tradnl"/>
        </w:rPr>
        <w:t xml:space="preserve">cumple con los requisitos de elegibilidad </w:t>
      </w:r>
      <w:r w:rsidR="005C1B1A">
        <w:rPr>
          <w:rFonts w:ascii="Myriad Pro" w:hAnsi="Myriad Pro"/>
          <w:bdr w:val="none" w:sz="0" w:space="0" w:color="auto" w:frame="1"/>
          <w:lang w:val="es-ES_tradnl"/>
        </w:rPr>
        <w:t>‘</w:t>
      </w:r>
      <w:r w:rsidRPr="005C1B1A">
        <w:rPr>
          <w:rFonts w:ascii="Myriad Pro" w:hAnsi="Myriad Pro"/>
          <w:bdr w:val="none" w:sz="0" w:space="0" w:color="auto" w:frame="1"/>
          <w:lang w:val="es-ES_tradnl"/>
        </w:rPr>
        <w:t>esenciales</w:t>
      </w:r>
      <w:r w:rsidR="005C1B1A">
        <w:rPr>
          <w:rFonts w:ascii="Myriad Pro" w:hAnsi="Myriad Pro"/>
          <w:bdr w:val="none" w:sz="0" w:space="0" w:color="auto" w:frame="1"/>
          <w:lang w:val="es-ES_tradnl"/>
        </w:rPr>
        <w:t>’</w:t>
      </w:r>
      <w:r w:rsidRPr="005C1B1A">
        <w:rPr>
          <w:rFonts w:ascii="Myriad Pro" w:hAnsi="Myriad Pro"/>
          <w:bdr w:val="none" w:sz="0" w:space="0" w:color="auto" w:frame="1"/>
          <w:lang w:val="es-ES_tradnl"/>
        </w:rPr>
        <w:t xml:space="preserve"> del programa sin modificación alguna, o con modificaciones </w:t>
      </w:r>
      <w:r w:rsidR="005C1B1A">
        <w:rPr>
          <w:rFonts w:ascii="Myriad Pro" w:hAnsi="Myriad Pro"/>
          <w:bdr w:val="none" w:sz="0" w:space="0" w:color="auto" w:frame="1"/>
          <w:lang w:val="es-ES_tradnl"/>
        </w:rPr>
        <w:t>‘</w:t>
      </w:r>
      <w:r w:rsidRPr="005C1B1A">
        <w:rPr>
          <w:rFonts w:ascii="Myriad Pro" w:hAnsi="Myriad Pro"/>
          <w:bdr w:val="none" w:sz="0" w:space="0" w:color="auto" w:frame="1"/>
          <w:lang w:val="es-ES_tradnl"/>
        </w:rPr>
        <w:t>razonables</w:t>
      </w:r>
      <w:r w:rsidR="005C1B1A">
        <w:rPr>
          <w:rFonts w:ascii="Myriad Pro" w:hAnsi="Myriad Pro"/>
          <w:bdr w:val="none" w:sz="0" w:space="0" w:color="auto" w:frame="1"/>
          <w:lang w:val="es-ES_tradnl"/>
        </w:rPr>
        <w:t>’</w:t>
      </w:r>
      <w:r w:rsidRPr="005C1B1A">
        <w:rPr>
          <w:rFonts w:ascii="Myriad Pro" w:hAnsi="Myriad Pro"/>
          <w:bdr w:val="none" w:sz="0" w:space="0" w:color="auto" w:frame="1"/>
          <w:lang w:val="es-ES_tradnl"/>
        </w:rPr>
        <w:t xml:space="preserve"> que no alteren un requisito </w:t>
      </w:r>
      <w:r w:rsidR="005C1B1A">
        <w:rPr>
          <w:rFonts w:ascii="Myriad Pro" w:hAnsi="Myriad Pro"/>
          <w:bdr w:val="none" w:sz="0" w:space="0" w:color="auto" w:frame="1"/>
          <w:lang w:val="es-ES_tradnl"/>
        </w:rPr>
        <w:t>‘</w:t>
      </w:r>
      <w:r w:rsidRPr="005C1B1A">
        <w:rPr>
          <w:rFonts w:ascii="Myriad Pro" w:hAnsi="Myriad Pro"/>
          <w:bdr w:val="none" w:sz="0" w:space="0" w:color="auto" w:frame="1"/>
          <w:lang w:val="es-ES_tradnl"/>
        </w:rPr>
        <w:t>esencial</w:t>
      </w:r>
      <w:r w:rsidR="005C1B1A">
        <w:rPr>
          <w:rFonts w:ascii="Myriad Pro" w:hAnsi="Myriad Pro"/>
          <w:bdr w:val="none" w:sz="0" w:space="0" w:color="auto" w:frame="1"/>
          <w:lang w:val="es-ES_tradnl"/>
        </w:rPr>
        <w:t>’</w:t>
      </w:r>
      <w:r w:rsidRPr="005C1B1A">
        <w:rPr>
          <w:rFonts w:ascii="Myriad Pro" w:hAnsi="Myriad Pro"/>
          <w:bdr w:val="none" w:sz="0" w:space="0" w:color="auto" w:frame="1"/>
          <w:lang w:val="es-ES_tradnl"/>
        </w:rPr>
        <w:t xml:space="preserve"> que sea fundamental para la naturaleza y el propósito del programa</w:t>
      </w:r>
      <w:r w:rsidR="0078616A">
        <w:rPr>
          <w:rFonts w:ascii="Myriad Pro" w:hAnsi="Myriad Pro"/>
          <w:bdr w:val="none" w:sz="0" w:space="0" w:color="auto" w:frame="1"/>
          <w:lang w:val="es-ES_tradnl"/>
        </w:rPr>
        <w:t>”</w:t>
      </w:r>
      <w:r w:rsidRPr="005C1B1A">
        <w:rPr>
          <w:rFonts w:ascii="Myriad Pro" w:hAnsi="Myriad Pro"/>
          <w:bdr w:val="none" w:sz="0" w:space="0" w:color="auto" w:frame="1"/>
          <w:lang w:val="es-ES_tradnl"/>
        </w:rPr>
        <w:t xml:space="preserve">. </w:t>
      </w:r>
      <w:r w:rsidRPr="005C1B1A">
        <w:rPr>
          <w:rFonts w:ascii="Myriad Pro" w:hAnsi="Myriad Pro"/>
          <w:i/>
          <w:iCs/>
          <w:bdr w:val="none" w:sz="0" w:space="0" w:color="auto" w:frame="1"/>
          <w:lang w:val="es-ES_tradnl"/>
        </w:rPr>
        <w:t>Id.</w:t>
      </w:r>
      <w:r w:rsidRPr="005C1B1A">
        <w:rPr>
          <w:rFonts w:ascii="Myriad Pro" w:hAnsi="Myriad Pro"/>
          <w:bdr w:val="none" w:sz="0" w:space="0" w:color="auto" w:frame="1"/>
          <w:lang w:val="es-ES_tradnl"/>
        </w:rPr>
        <w:t xml:space="preserve"> en 1225 (citando </w:t>
      </w:r>
      <w:r w:rsidRPr="005C1B1A">
        <w:rPr>
          <w:rFonts w:ascii="Myriad Pro" w:hAnsi="Myriad Pro"/>
          <w:i/>
          <w:iCs/>
          <w:bdr w:val="none" w:sz="0" w:space="0" w:color="auto" w:frame="1"/>
          <w:lang w:val="es-ES_tradnl"/>
        </w:rPr>
        <w:t>School Board of Nassau County v. Arline</w:t>
      </w:r>
      <w:r w:rsidRPr="005C1B1A">
        <w:rPr>
          <w:rFonts w:ascii="Myriad Pro" w:hAnsi="Myriad Pro"/>
          <w:bdr w:val="none" w:sz="0" w:space="0" w:color="auto" w:frame="1"/>
          <w:lang w:val="es-ES_tradnl"/>
        </w:rPr>
        <w:t xml:space="preserve">, 480 U.S. 273, 287 n.17 (1987)). Al aplicar esa definición, el tribunal determinó que el demandante, un inmigrante con síndrome de Down, estaba calificado para la naturalización a pesar de su necesidad de una exención del requisito del juramento. Al hacer referencia a las exenciones previstas por la ley para los menores, el tribunal sostuvo que </w:t>
      </w:r>
      <w:r w:rsidR="0078616A">
        <w:rPr>
          <w:rFonts w:ascii="Myriad Pro" w:hAnsi="Myriad Pro"/>
          <w:bdr w:val="none" w:sz="0" w:space="0" w:color="auto" w:frame="1"/>
          <w:lang w:val="es-ES_tradnl"/>
        </w:rPr>
        <w:t>“</w:t>
      </w:r>
      <w:r w:rsidRPr="005C1B1A">
        <w:rPr>
          <w:rFonts w:ascii="Myriad Pro" w:hAnsi="Myriad Pro"/>
          <w:bdr w:val="none" w:sz="0" w:space="0" w:color="auto" w:frame="1"/>
          <w:lang w:val="es-ES_tradnl"/>
        </w:rPr>
        <w:t>la exención del requisito de adhesión y del juramento constituye una modificación razonable que no elimina un aspecto esencial del programa</w:t>
      </w:r>
      <w:r w:rsidR="0078616A">
        <w:rPr>
          <w:rFonts w:ascii="Myriad Pro" w:hAnsi="Myriad Pro"/>
          <w:bdr w:val="none" w:sz="0" w:space="0" w:color="auto" w:frame="1"/>
          <w:lang w:val="es-ES_tradnl"/>
        </w:rPr>
        <w:t>”</w:t>
      </w:r>
      <w:r w:rsidRPr="005C1B1A">
        <w:rPr>
          <w:rFonts w:ascii="Myriad Pro" w:hAnsi="Myriad Pro"/>
          <w:bdr w:val="none" w:sz="0" w:space="0" w:color="auto" w:frame="1"/>
          <w:lang w:val="es-ES_tradnl"/>
        </w:rPr>
        <w:t xml:space="preserve">. </w:t>
      </w:r>
      <w:r w:rsidRPr="005C1B1A">
        <w:rPr>
          <w:rFonts w:ascii="Myriad Pro" w:hAnsi="Myriad Pro"/>
          <w:i/>
          <w:iCs/>
          <w:bdr w:val="none" w:sz="0" w:space="0" w:color="auto" w:frame="1"/>
          <w:lang w:val="es-ES_tradnl"/>
        </w:rPr>
        <w:t>Id.</w:t>
      </w:r>
      <w:r w:rsidRPr="005C1B1A">
        <w:rPr>
          <w:rFonts w:ascii="Myriad Pro" w:hAnsi="Myriad Pro"/>
          <w:bdr w:val="none" w:sz="0" w:space="0" w:color="auto" w:frame="1"/>
          <w:lang w:val="es-ES_tradnl"/>
        </w:rPr>
        <w:t xml:space="preserve"> El tribunal rechazó el argumento del gobierno de que los requisitos de adhesión y de juramento son </w:t>
      </w:r>
      <w:r w:rsidR="0078616A">
        <w:rPr>
          <w:rFonts w:ascii="Myriad Pro" w:hAnsi="Myriad Pro"/>
          <w:bdr w:val="none" w:sz="0" w:space="0" w:color="auto" w:frame="1"/>
          <w:lang w:val="es-ES_tradnl"/>
        </w:rPr>
        <w:t>“</w:t>
      </w:r>
      <w:r w:rsidRPr="005C1B1A">
        <w:rPr>
          <w:rFonts w:ascii="Myriad Pro" w:hAnsi="Myriad Pro"/>
          <w:bdr w:val="none" w:sz="0" w:space="0" w:color="auto" w:frame="1"/>
          <w:lang w:val="es-ES_tradnl"/>
        </w:rPr>
        <w:t>esenciales</w:t>
      </w:r>
      <w:r w:rsidR="0078616A">
        <w:rPr>
          <w:rFonts w:ascii="Myriad Pro" w:hAnsi="Myriad Pro"/>
          <w:bdr w:val="none" w:sz="0" w:space="0" w:color="auto" w:frame="1"/>
          <w:lang w:val="es-ES_tradnl"/>
        </w:rPr>
        <w:t>”</w:t>
      </w:r>
      <w:r w:rsidRPr="005C1B1A">
        <w:rPr>
          <w:rFonts w:ascii="Myriad Pro" w:hAnsi="Myriad Pro"/>
          <w:bdr w:val="none" w:sz="0" w:space="0" w:color="auto" w:frame="1"/>
          <w:lang w:val="es-ES_tradnl"/>
        </w:rPr>
        <w:t xml:space="preserve"> para obtener la ciudadanía y de que la exención causaría una alteración fundamental. </w:t>
      </w:r>
      <w:r w:rsidRPr="005C1B1A">
        <w:rPr>
          <w:rFonts w:ascii="Myriad Pro" w:hAnsi="Myriad Pro"/>
          <w:i/>
          <w:iCs/>
          <w:bdr w:val="none" w:sz="0" w:space="0" w:color="auto" w:frame="1"/>
          <w:lang w:val="es-ES_tradnl"/>
        </w:rPr>
        <w:t>Id.</w:t>
      </w:r>
      <w:r w:rsidR="001D7315" w:rsidRPr="005C1B1A">
        <w:rPr>
          <w:rStyle w:val="FootnoteReference"/>
          <w:rFonts w:ascii="Myriad Pro" w:hAnsi="Myriad Pro"/>
          <w:lang w:val="es-ES_tradnl"/>
        </w:rPr>
        <w:footnoteReference w:id="8"/>
      </w:r>
      <w:r w:rsidR="00912504" w:rsidRPr="005C1B1A">
        <w:rPr>
          <w:rFonts w:ascii="Myriad Pro" w:hAnsi="Myriad Pro"/>
          <w:bdr w:val="none" w:sz="0" w:space="0" w:color="auto" w:frame="1"/>
          <w:lang w:val="es-ES_tradnl"/>
        </w:rPr>
        <w:t xml:space="preserve"> </w:t>
      </w:r>
    </w:p>
    <w:p w14:paraId="53EC2438" w14:textId="6692CF4E" w:rsidR="00E12FB6" w:rsidRPr="005C1B1A" w:rsidRDefault="000822F2" w:rsidP="00425BDA">
      <w:pPr>
        <w:pStyle w:val="Heading1"/>
        <w:rPr>
          <w:lang w:val="es-ES_tradnl"/>
        </w:rPr>
      </w:pPr>
      <w:r w:rsidRPr="005C1B1A">
        <w:rPr>
          <w:lang w:val="es-ES_tradnl"/>
        </w:rPr>
        <w:t>Requisito: La modificación o adaptación solicitada debe ser razonable</w:t>
      </w:r>
    </w:p>
    <w:p w14:paraId="4890EE79" w14:textId="15E7C2DA" w:rsidR="004928CD" w:rsidRPr="005C1B1A" w:rsidRDefault="00A40729" w:rsidP="00D71FA8">
      <w:pPr>
        <w:widowControl w:val="0"/>
        <w:spacing w:after="240"/>
        <w:rPr>
          <w:rFonts w:ascii="Myriad Pro" w:hAnsi="Myriad Pro"/>
          <w:lang w:val="es-ES_tradnl"/>
        </w:rPr>
      </w:pPr>
      <w:r w:rsidRPr="005C1B1A">
        <w:rPr>
          <w:rFonts w:ascii="Myriad Pro" w:hAnsi="Myriad Pro"/>
          <w:lang w:val="es-ES_tradnl"/>
        </w:rPr>
        <w:t xml:space="preserve">Las agencias pueden argumentar que una modificación solicitada no es razonable. La razonabilidad de una modificación solicitada </w:t>
      </w:r>
      <w:r w:rsidR="0078616A">
        <w:rPr>
          <w:rFonts w:ascii="Myriad Pro" w:hAnsi="Myriad Pro"/>
          <w:lang w:val="es-ES_tradnl"/>
        </w:rPr>
        <w:t>“</w:t>
      </w:r>
      <w:r w:rsidRPr="005C1B1A">
        <w:rPr>
          <w:rFonts w:ascii="Myriad Pro" w:hAnsi="Myriad Pro"/>
          <w:lang w:val="es-ES_tradnl"/>
        </w:rPr>
        <w:t>depende de las circunstancias particulares de cada caso</w:t>
      </w:r>
      <w:r w:rsidR="0078616A">
        <w:rPr>
          <w:rFonts w:ascii="Myriad Pro" w:hAnsi="Myriad Pro"/>
          <w:lang w:val="es-ES_tradnl"/>
        </w:rPr>
        <w:t>”</w:t>
      </w:r>
      <w:r w:rsidRPr="005C1B1A">
        <w:rPr>
          <w:rFonts w:ascii="Myriad Pro" w:hAnsi="Myriad Pro"/>
          <w:lang w:val="es-ES_tradnl"/>
        </w:rPr>
        <w:t xml:space="preserve">, lo cual requiere </w:t>
      </w:r>
      <w:r w:rsidR="0078616A">
        <w:rPr>
          <w:rFonts w:ascii="Myriad Pro" w:hAnsi="Myriad Pro"/>
          <w:lang w:val="es-ES_tradnl"/>
        </w:rPr>
        <w:t>“</w:t>
      </w:r>
      <w:r w:rsidRPr="005C1B1A">
        <w:rPr>
          <w:rFonts w:ascii="Myriad Pro" w:hAnsi="Myriad Pro"/>
          <w:lang w:val="es-ES_tradnl"/>
        </w:rPr>
        <w:t>un análisis individualizado y basado en los hechos concretos de las circunstancias de la persona con discapacidad y de las adaptaciones que podrían permitirle disfrutar de un acceso significativo al programa</w:t>
      </w:r>
      <w:r w:rsidR="0078616A">
        <w:rPr>
          <w:rFonts w:ascii="Myriad Pro" w:hAnsi="Myriad Pro"/>
          <w:lang w:val="es-ES_tradnl"/>
        </w:rPr>
        <w:t>”</w:t>
      </w:r>
      <w:r w:rsidRPr="005C1B1A">
        <w:rPr>
          <w:rFonts w:ascii="Myriad Pro" w:hAnsi="Myriad Pro"/>
          <w:lang w:val="es-ES_tradnl"/>
        </w:rPr>
        <w:t xml:space="preserve">. </w:t>
      </w:r>
      <w:r w:rsidRPr="005C1B1A">
        <w:rPr>
          <w:rFonts w:ascii="Myriad Pro" w:hAnsi="Myriad Pro"/>
          <w:i/>
          <w:iCs/>
          <w:lang w:val="es-ES_tradnl"/>
        </w:rPr>
        <w:t>Mark H. v. Hamamoto</w:t>
      </w:r>
      <w:r w:rsidRPr="005C1B1A">
        <w:rPr>
          <w:rFonts w:ascii="Myriad Pro" w:hAnsi="Myriad Pro"/>
          <w:lang w:val="es-ES_tradnl"/>
        </w:rPr>
        <w:t xml:space="preserve">, 620 F.3d 1090, 1098 (9th Cir. 2010); en el mismo sentido </w:t>
      </w:r>
      <w:r w:rsidRPr="005C1B1A">
        <w:rPr>
          <w:rFonts w:ascii="Myriad Pro" w:hAnsi="Myriad Pro"/>
          <w:i/>
          <w:iCs/>
          <w:lang w:val="es-ES_tradnl"/>
        </w:rPr>
        <w:t>Franco-Gonzalez v. Holder</w:t>
      </w:r>
      <w:r w:rsidRPr="005C1B1A">
        <w:rPr>
          <w:rFonts w:ascii="Myriad Pro" w:hAnsi="Myriad Pro"/>
          <w:lang w:val="es-ES_tradnl"/>
        </w:rPr>
        <w:t xml:space="preserve">, 767 F. Supp. 2d 1034, 1053 (C.D. Cal. 2010) (citando </w:t>
      </w:r>
      <w:r w:rsidRPr="005C1B1A">
        <w:rPr>
          <w:rFonts w:ascii="Myriad Pro" w:hAnsi="Myriad Pro"/>
          <w:i/>
          <w:iCs/>
          <w:lang w:val="es-ES_tradnl"/>
        </w:rPr>
        <w:t>Mark H.</w:t>
      </w:r>
      <w:r w:rsidRPr="005C1B1A">
        <w:rPr>
          <w:rFonts w:ascii="Myriad Pro" w:hAnsi="Myriad Pro"/>
          <w:lang w:val="es-ES_tradnl"/>
        </w:rPr>
        <w:t xml:space="preserve">). Una adaptación que otorgue una preferencia no es, en sí misma, irrazonable. </w:t>
      </w:r>
      <w:r w:rsidRPr="005C1B1A">
        <w:rPr>
          <w:rFonts w:ascii="Myriad Pro" w:hAnsi="Myriad Pro"/>
          <w:i/>
          <w:iCs/>
          <w:lang w:val="es-ES_tradnl"/>
        </w:rPr>
        <w:t>Id.</w:t>
      </w:r>
      <w:r w:rsidRPr="005C1B1A">
        <w:rPr>
          <w:rFonts w:ascii="Myriad Pro" w:hAnsi="Myriad Pro"/>
          <w:lang w:val="es-ES_tradnl"/>
        </w:rPr>
        <w:t xml:space="preserve"> en 1056 (citando </w:t>
      </w:r>
      <w:r w:rsidRPr="005C1B1A">
        <w:rPr>
          <w:rFonts w:ascii="Myriad Pro" w:hAnsi="Myriad Pro"/>
          <w:i/>
          <w:iCs/>
          <w:lang w:val="es-ES_tradnl"/>
        </w:rPr>
        <w:t>U.S. Airways, Inc. v. Barnett</w:t>
      </w:r>
      <w:r w:rsidRPr="005C1B1A">
        <w:rPr>
          <w:rFonts w:ascii="Myriad Pro" w:hAnsi="Myriad Pro"/>
          <w:lang w:val="es-ES_tradnl"/>
        </w:rPr>
        <w:t>, 535 U.S. 391, 402 (2002)).</w:t>
      </w:r>
      <w:r w:rsidR="00651090" w:rsidRPr="005C1B1A">
        <w:rPr>
          <w:rFonts w:ascii="Myriad Pro" w:hAnsi="Myriad Pro"/>
          <w:lang w:val="es-ES_tradnl"/>
        </w:rPr>
        <w:t xml:space="preserve"> </w:t>
      </w:r>
    </w:p>
    <w:p w14:paraId="5A367441" w14:textId="00B3AEE6" w:rsidR="00827279" w:rsidRPr="005C1B1A" w:rsidRDefault="00A40729" w:rsidP="00D71FA8">
      <w:pPr>
        <w:widowControl w:val="0"/>
        <w:spacing w:after="240"/>
        <w:rPr>
          <w:rFonts w:ascii="Myriad Pro" w:hAnsi="Myriad Pro"/>
          <w:lang w:val="es-ES_tradnl"/>
        </w:rPr>
      </w:pPr>
      <w:r w:rsidRPr="005C1B1A">
        <w:rPr>
          <w:rFonts w:ascii="Myriad Pro" w:hAnsi="Myriad Pro"/>
          <w:lang w:val="es-ES_tradnl"/>
        </w:rPr>
        <w:t>Si bien las mismas normas de la Sección 504 se aplican a todas las entidades sujetas a la ley, el contexto puede influir en que una modificación concreta se considere razonable. En otras palabras, la autoridad competente o el juez encargado de tomar la decisión tomará en consideración el contexto del procedimiento migratorio o de la interacción al determinar si dicha modificación es razonable.</w:t>
      </w:r>
      <w:r w:rsidR="004928CD" w:rsidRPr="005C1B1A">
        <w:rPr>
          <w:rFonts w:ascii="Myriad Pro" w:hAnsi="Myriad Pro"/>
          <w:lang w:val="es-ES_tradnl"/>
        </w:rPr>
        <w:t xml:space="preserve"> </w:t>
      </w:r>
    </w:p>
    <w:p w14:paraId="3D29B5CB" w14:textId="5B69F481" w:rsidR="003E59A4" w:rsidRPr="005C1B1A" w:rsidRDefault="00A40729" w:rsidP="00425BDA">
      <w:pPr>
        <w:pStyle w:val="Heading1"/>
        <w:rPr>
          <w:lang w:val="es-ES_tradnl"/>
        </w:rPr>
      </w:pPr>
      <w:r w:rsidRPr="005C1B1A">
        <w:rPr>
          <w:lang w:val="es-ES_tradnl"/>
        </w:rPr>
        <w:t>Defensas de la agencia</w:t>
      </w:r>
    </w:p>
    <w:p w14:paraId="3FD00D4E" w14:textId="138F655C" w:rsidR="003E59A4" w:rsidRDefault="00A40729" w:rsidP="00D71FA8">
      <w:pPr>
        <w:widowControl w:val="0"/>
        <w:spacing w:after="240"/>
        <w:rPr>
          <w:rFonts w:ascii="Myriad Pro" w:hAnsi="Myriad Pro"/>
          <w:lang w:val="es-ES_tradnl"/>
        </w:rPr>
      </w:pPr>
      <w:r w:rsidRPr="005C1B1A">
        <w:rPr>
          <w:rFonts w:ascii="Myriad Pro" w:hAnsi="Myriad Pro"/>
          <w:lang w:val="es-ES_tradnl"/>
        </w:rPr>
        <w:t>Las agencias federales cuentan con defensas afirmativas frente a las reclamaciones por discapacidad y las solicitudes de adaptaciones razonables, incluidas las defensas de carga excesiva y de alteración fundamental.</w:t>
      </w:r>
    </w:p>
    <w:p w14:paraId="774F175C" w14:textId="77777777" w:rsidR="000327B9" w:rsidRPr="005C1B1A" w:rsidRDefault="000327B9" w:rsidP="00D71FA8">
      <w:pPr>
        <w:widowControl w:val="0"/>
        <w:spacing w:after="240"/>
        <w:rPr>
          <w:rFonts w:ascii="Myriad Pro" w:hAnsi="Myriad Pro"/>
          <w:lang w:val="es-ES_tradnl"/>
        </w:rPr>
      </w:pPr>
    </w:p>
    <w:p w14:paraId="32574B97" w14:textId="04DCB59B" w:rsidR="00E12FB6" w:rsidRPr="005C1B1A" w:rsidRDefault="00A40729" w:rsidP="00F30383">
      <w:pPr>
        <w:pStyle w:val="Heading2"/>
        <w:rPr>
          <w:lang w:val="es-ES_tradnl"/>
        </w:rPr>
      </w:pPr>
      <w:r w:rsidRPr="005C1B1A">
        <w:rPr>
          <w:lang w:val="es-ES_tradnl"/>
        </w:rPr>
        <w:lastRenderedPageBreak/>
        <w:t>Alteración fundamental</w:t>
      </w:r>
    </w:p>
    <w:p w14:paraId="35D3E909" w14:textId="395B0B77" w:rsidR="00DD4F6D" w:rsidRPr="005C1B1A" w:rsidRDefault="00A40729" w:rsidP="00D71FA8">
      <w:pPr>
        <w:widowControl w:val="0"/>
        <w:spacing w:after="240"/>
        <w:rPr>
          <w:rFonts w:ascii="Myriad Pro" w:hAnsi="Myriad Pro"/>
          <w:lang w:val="es-ES_tradnl"/>
        </w:rPr>
      </w:pPr>
      <w:r w:rsidRPr="005C1B1A">
        <w:rPr>
          <w:rFonts w:ascii="Myriad Pro" w:hAnsi="Myriad Pro"/>
          <w:lang w:val="es-ES_tradnl"/>
        </w:rPr>
        <w:t>La Sección 504 no exige a las agencias que realicen alteraciones fundamentales en sus programas. 6 C.F.R. § 15.60(d); 28 C.F.R. § 39.160(d); 28 C.F.R. § 39.103; 6 C.F.R. § 15.3(e)(1); 26 Op. O.L.C. 16.</w:t>
      </w:r>
    </w:p>
    <w:p w14:paraId="496B763F" w14:textId="7CDF10D6" w:rsidR="004928CD" w:rsidRPr="005C1B1A" w:rsidRDefault="00A40729" w:rsidP="00D71FA8">
      <w:pPr>
        <w:widowControl w:val="0"/>
        <w:spacing w:after="240"/>
        <w:rPr>
          <w:rFonts w:ascii="Myriad Pro" w:hAnsi="Myriad Pro"/>
          <w:lang w:val="es-ES_tradnl"/>
        </w:rPr>
      </w:pPr>
      <w:r w:rsidRPr="005C1B1A">
        <w:rPr>
          <w:rFonts w:ascii="Myriad Pro" w:hAnsi="Myriad Pro"/>
          <w:lang w:val="es-ES_tradnl"/>
        </w:rPr>
        <w:t xml:space="preserve">El hecho de que una adaptación solicitada constituya una alteración fundamental </w:t>
      </w:r>
      <w:r w:rsidR="0078616A">
        <w:rPr>
          <w:rFonts w:ascii="Myriad Pro" w:hAnsi="Myriad Pro"/>
          <w:lang w:val="es-ES_tradnl"/>
        </w:rPr>
        <w:t>“</w:t>
      </w:r>
      <w:r w:rsidRPr="005C1B1A">
        <w:rPr>
          <w:rFonts w:ascii="Myriad Pro" w:hAnsi="Myriad Pro"/>
          <w:lang w:val="es-ES_tradnl"/>
        </w:rPr>
        <w:t>requiere un análisis individualizado y basado en los hechos concretos</w:t>
      </w:r>
      <w:r w:rsidR="0078616A">
        <w:rPr>
          <w:rFonts w:ascii="Myriad Pro" w:hAnsi="Myriad Pro"/>
          <w:lang w:val="es-ES_tradnl"/>
        </w:rPr>
        <w:t>”</w:t>
      </w:r>
      <w:r w:rsidRPr="005C1B1A">
        <w:rPr>
          <w:rFonts w:ascii="Myriad Pro" w:hAnsi="Myriad Pro"/>
          <w:lang w:val="es-ES_tradnl"/>
        </w:rPr>
        <w:t xml:space="preserve">. </w:t>
      </w:r>
      <w:r w:rsidRPr="005C1B1A">
        <w:rPr>
          <w:rFonts w:ascii="Myriad Pro" w:hAnsi="Myriad Pro"/>
          <w:i/>
          <w:iCs/>
          <w:lang w:val="es-ES_tradnl"/>
        </w:rPr>
        <w:t>Franco-Gonzalez v. Holder</w:t>
      </w:r>
      <w:r w:rsidRPr="005C1B1A">
        <w:rPr>
          <w:rFonts w:ascii="Myriad Pro" w:hAnsi="Myriad Pro"/>
          <w:lang w:val="es-ES_tradnl"/>
        </w:rPr>
        <w:t xml:space="preserve">, N.º CV 10-02211 DMG (DTBx), 2013 U.S. Dist. LEXIS 186258, en *21 (C.D. Cal. 23 de abril de 2013). Se produciría una alteración fundamental si la modificación solicitada ampliara el alcance de un programa o beneficio, en lugar de limitarse a permitir que las personas con discapacidad tengan un acceso igualmente efectivo a los programas, servicios o actividades de una agencia. </w:t>
      </w:r>
      <w:r w:rsidRPr="005C1B1A">
        <w:rPr>
          <w:rFonts w:ascii="Myriad Pro" w:hAnsi="Myriad Pro"/>
          <w:i/>
          <w:iCs/>
          <w:lang w:val="es-ES_tradnl"/>
        </w:rPr>
        <w:t>Id.</w:t>
      </w:r>
      <w:r w:rsidRPr="005C1B1A">
        <w:rPr>
          <w:rFonts w:ascii="Myriad Pro" w:hAnsi="Myriad Pro"/>
          <w:lang w:val="es-ES_tradnl"/>
        </w:rPr>
        <w:t xml:space="preserve"> en *21-22 (citando </w:t>
      </w:r>
      <w:r w:rsidRPr="005C1B1A">
        <w:rPr>
          <w:rFonts w:ascii="Myriad Pro" w:hAnsi="Myriad Pro"/>
          <w:i/>
          <w:iCs/>
          <w:lang w:val="es-ES_tradnl"/>
        </w:rPr>
        <w:t>American Council of the Blind v. Paulson</w:t>
      </w:r>
      <w:r w:rsidRPr="005C1B1A">
        <w:rPr>
          <w:rFonts w:ascii="Myriad Pro" w:hAnsi="Myriad Pro"/>
          <w:lang w:val="es-ES_tradnl"/>
        </w:rPr>
        <w:t>, 525 F.3d 1256, 1267 (D.C. Cir. 2008)).</w:t>
      </w:r>
    </w:p>
    <w:p w14:paraId="584BA277" w14:textId="68684B74" w:rsidR="00651090" w:rsidRPr="005C1B1A" w:rsidRDefault="00A40729" w:rsidP="00D71FA8">
      <w:pPr>
        <w:widowControl w:val="0"/>
        <w:spacing w:after="240"/>
        <w:rPr>
          <w:rFonts w:ascii="Myriad Pro" w:eastAsiaTheme="majorEastAsia" w:hAnsi="Myriad Pro"/>
          <w:lang w:val="es-ES_tradnl"/>
        </w:rPr>
      </w:pPr>
      <w:r w:rsidRPr="005C1B1A">
        <w:rPr>
          <w:rFonts w:ascii="Myriad Pro" w:eastAsiaTheme="majorEastAsia" w:hAnsi="Myriad Pro"/>
          <w:lang w:val="es-ES_tradnl"/>
        </w:rPr>
        <w:t>Al igual que en el caso de la cuestión de la razonabilidad, las agencias y los tribunales tomarán en consideración el contexto del proceso migratorio o de la interacción al evaluar si se ha producido una alteración fundamental.</w:t>
      </w:r>
    </w:p>
    <w:p w14:paraId="25C8591A" w14:textId="64B4123C" w:rsidR="00E12FB6" w:rsidRPr="005C1B1A" w:rsidRDefault="00A40729" w:rsidP="00F30383">
      <w:pPr>
        <w:pStyle w:val="Heading2"/>
        <w:rPr>
          <w:lang w:val="es-ES_tradnl"/>
        </w:rPr>
      </w:pPr>
      <w:r w:rsidRPr="005C1B1A">
        <w:rPr>
          <w:lang w:val="es-ES_tradnl"/>
        </w:rPr>
        <w:t>Dificultad excesiva</w:t>
      </w:r>
    </w:p>
    <w:p w14:paraId="6C39D47C" w14:textId="442A78EF" w:rsidR="00205475" w:rsidRPr="005C1B1A" w:rsidRDefault="00EE76C6" w:rsidP="00D71FA8">
      <w:pPr>
        <w:widowControl w:val="0"/>
        <w:spacing w:after="240"/>
        <w:rPr>
          <w:rFonts w:ascii="Myriad Pro" w:hAnsi="Myriad Pro"/>
          <w:lang w:val="es-ES_tradnl"/>
        </w:rPr>
      </w:pPr>
      <w:r w:rsidRPr="005C1B1A">
        <w:rPr>
          <w:rFonts w:ascii="Myriad Pro" w:hAnsi="Myriad Pro"/>
          <w:lang w:val="es-ES_tradnl"/>
        </w:rPr>
        <w:t xml:space="preserve">Las agencias también pueden alegar en su defensa que una modificación solicitada daría lugar a una carga o dificultad financiera o administrativa indebida. 28 C.F.R. § 39.160(d); 6 C.F.R. § 15.60(d); </w:t>
      </w:r>
      <w:r w:rsidRPr="005C1B1A">
        <w:rPr>
          <w:rFonts w:ascii="Myriad Pro" w:hAnsi="Myriad Pro"/>
          <w:i/>
          <w:iCs/>
          <w:lang w:val="es-ES_tradnl"/>
        </w:rPr>
        <w:t>Southeastern Community College v. Davis</w:t>
      </w:r>
      <w:r w:rsidRPr="005C1B1A">
        <w:rPr>
          <w:rFonts w:ascii="Myriad Pro" w:hAnsi="Myriad Pro"/>
          <w:lang w:val="es-ES_tradnl"/>
        </w:rPr>
        <w:t xml:space="preserve">, 442 U.S. 397, 412 (1979); </w:t>
      </w:r>
      <w:r w:rsidRPr="005C1B1A">
        <w:rPr>
          <w:rFonts w:ascii="Myriad Pro" w:hAnsi="Myriad Pro"/>
          <w:i/>
          <w:iCs/>
          <w:lang w:val="es-ES_tradnl"/>
        </w:rPr>
        <w:t>American Council of the Blind v. Paulson</w:t>
      </w:r>
      <w:r w:rsidRPr="005C1B1A">
        <w:rPr>
          <w:rFonts w:ascii="Myriad Pro" w:hAnsi="Myriad Pro"/>
          <w:lang w:val="es-ES_tradnl"/>
        </w:rPr>
        <w:t xml:space="preserve">, 525 F.3d 1256, 1266 (D.C. Cir. 2008). Las modificaciones que ocasionen cargas financieras o administrativas indebidas no se consideran razonables. </w:t>
      </w:r>
      <w:r w:rsidRPr="005C1B1A">
        <w:rPr>
          <w:rFonts w:ascii="Myriad Pro" w:hAnsi="Myriad Pro"/>
          <w:i/>
          <w:iCs/>
          <w:lang w:val="es-ES_tradnl"/>
        </w:rPr>
        <w:t>American Council of the Blind v. Paulson</w:t>
      </w:r>
      <w:r w:rsidRPr="005C1B1A">
        <w:rPr>
          <w:rFonts w:ascii="Myriad Pro" w:hAnsi="Myriad Pro"/>
          <w:lang w:val="es-ES_tradnl"/>
        </w:rPr>
        <w:t xml:space="preserve">, 463 F. Supp. 2d 51, 59 (D.D.C. 2006) (citando </w:t>
      </w:r>
      <w:r w:rsidRPr="005C1B1A">
        <w:rPr>
          <w:rFonts w:ascii="Myriad Pro" w:hAnsi="Myriad Pro"/>
          <w:i/>
          <w:iCs/>
          <w:lang w:val="es-ES_tradnl"/>
        </w:rPr>
        <w:t>Davis</w:t>
      </w:r>
      <w:r w:rsidRPr="005C1B1A">
        <w:rPr>
          <w:rFonts w:ascii="Myriad Pro" w:hAnsi="Myriad Pro"/>
          <w:lang w:val="es-ES_tradnl"/>
        </w:rPr>
        <w:t xml:space="preserve">, 442 U.S. en 412); véase también </w:t>
      </w:r>
      <w:r w:rsidRPr="005C1B1A">
        <w:rPr>
          <w:rFonts w:ascii="Myriad Pro" w:hAnsi="Myriad Pro"/>
          <w:i/>
          <w:iCs/>
          <w:lang w:val="es-ES_tradnl"/>
        </w:rPr>
        <w:t>Muir v. U.S. Department of Homeland Security</w:t>
      </w:r>
      <w:r w:rsidRPr="005C1B1A">
        <w:rPr>
          <w:rFonts w:ascii="Myriad Pro" w:hAnsi="Myriad Pro"/>
          <w:lang w:val="es-ES_tradnl"/>
        </w:rPr>
        <w:t>, 145 F.4th 1359, 1372-73 (D.C. Cir. 2025) (remisión para que se determine si existe una dificultad excesiva).</w:t>
      </w:r>
    </w:p>
    <w:p w14:paraId="2A414BBF" w14:textId="4C33B96C" w:rsidR="003E59A4" w:rsidRPr="005C1B1A" w:rsidRDefault="00EE76C6" w:rsidP="00D71FA8">
      <w:pPr>
        <w:widowControl w:val="0"/>
        <w:spacing w:after="240"/>
        <w:rPr>
          <w:rFonts w:ascii="Myriad Pro" w:hAnsi="Myriad Pro"/>
          <w:lang w:val="es-ES_tradnl"/>
        </w:rPr>
      </w:pPr>
      <w:r w:rsidRPr="005C1B1A">
        <w:rPr>
          <w:rFonts w:ascii="Myriad Pro" w:hAnsi="Myriad Pro"/>
          <w:lang w:val="es-ES_tradnl"/>
        </w:rPr>
        <w:t xml:space="preserve">Para demostrar una dificultad excesiva, las agencias deben demostrar que los costos de una modificación solicitada son </w:t>
      </w:r>
      <w:r w:rsidR="0078616A">
        <w:rPr>
          <w:rFonts w:ascii="Myriad Pro" w:hAnsi="Myriad Pro"/>
          <w:lang w:val="es-ES_tradnl"/>
        </w:rPr>
        <w:t>“</w:t>
      </w:r>
      <w:r w:rsidRPr="005C1B1A">
        <w:rPr>
          <w:rFonts w:ascii="Myriad Pro" w:hAnsi="Myriad Pro"/>
          <w:lang w:val="es-ES_tradnl"/>
        </w:rPr>
        <w:t>excesivos en relación con los beneficios de la modificación o con la supervivencia o la solidez financiera de la entidad</w:t>
      </w:r>
      <w:r w:rsidR="0078616A">
        <w:rPr>
          <w:rFonts w:ascii="Myriad Pro" w:hAnsi="Myriad Pro"/>
          <w:lang w:val="es-ES_tradnl"/>
        </w:rPr>
        <w:t>”</w:t>
      </w:r>
      <w:r w:rsidRPr="005C1B1A">
        <w:rPr>
          <w:rFonts w:ascii="Myriad Pro" w:hAnsi="Myriad Pro"/>
          <w:lang w:val="es-ES_tradnl"/>
        </w:rPr>
        <w:t xml:space="preserve">. </w:t>
      </w:r>
      <w:r w:rsidRPr="005C1B1A">
        <w:rPr>
          <w:rFonts w:ascii="Myriad Pro" w:hAnsi="Myriad Pro"/>
          <w:i/>
          <w:iCs/>
          <w:lang w:val="es-ES_tradnl"/>
        </w:rPr>
        <w:t>Meyer v. Walthall</w:t>
      </w:r>
      <w:r w:rsidRPr="005C1B1A">
        <w:rPr>
          <w:rFonts w:ascii="Myriad Pro" w:hAnsi="Myriad Pro"/>
          <w:lang w:val="es-ES_tradnl"/>
        </w:rPr>
        <w:t xml:space="preserve">, 528 F. Supp. 3d 928, 963 (S.D. Ind. 2021) (citando </w:t>
      </w:r>
      <w:r w:rsidRPr="005C1B1A">
        <w:rPr>
          <w:rFonts w:ascii="Myriad Pro" w:hAnsi="Myriad Pro"/>
          <w:i/>
          <w:iCs/>
          <w:lang w:val="es-ES_tradnl"/>
        </w:rPr>
        <w:t>Vande Zande v. Wisconsin Department of Administration</w:t>
      </w:r>
      <w:r w:rsidRPr="005C1B1A">
        <w:rPr>
          <w:rFonts w:ascii="Myriad Pro" w:hAnsi="Myriad Pro"/>
          <w:lang w:val="es-ES_tradnl"/>
        </w:rPr>
        <w:t xml:space="preserve">, 44 F.3d 538, 543 (7th Cir. 1995)); véase también </w:t>
      </w:r>
      <w:r w:rsidRPr="005C1B1A">
        <w:rPr>
          <w:rFonts w:ascii="Myriad Pro" w:hAnsi="Myriad Pro"/>
          <w:i/>
          <w:iCs/>
          <w:lang w:val="es-ES_tradnl"/>
        </w:rPr>
        <w:t>Paulson</w:t>
      </w:r>
      <w:r w:rsidRPr="005C1B1A">
        <w:rPr>
          <w:rFonts w:ascii="Myriad Pro" w:hAnsi="Myriad Pro"/>
          <w:lang w:val="es-ES_tradnl"/>
        </w:rPr>
        <w:t xml:space="preserve">, 525 F.3d en 1272 (la modificación solicitada del diseño de la moneda </w:t>
      </w:r>
      <w:r w:rsidR="0078616A">
        <w:rPr>
          <w:rFonts w:ascii="Myriad Pro" w:hAnsi="Myriad Pro"/>
          <w:lang w:val="es-ES_tradnl"/>
        </w:rPr>
        <w:t>“</w:t>
      </w:r>
      <w:r w:rsidRPr="005C1B1A">
        <w:rPr>
          <w:rFonts w:ascii="Myriad Pro" w:hAnsi="Myriad Pro"/>
          <w:lang w:val="es-ES_tradnl"/>
        </w:rPr>
        <w:t xml:space="preserve">constituiría una </w:t>
      </w:r>
      <w:r w:rsidR="005C1B1A">
        <w:rPr>
          <w:rFonts w:ascii="Myriad Pro" w:hAnsi="Myriad Pro"/>
          <w:lang w:val="es-ES_tradnl"/>
        </w:rPr>
        <w:t>‘</w:t>
      </w:r>
      <w:r w:rsidRPr="005C1B1A">
        <w:rPr>
          <w:rFonts w:ascii="Myriad Pro" w:hAnsi="Myriad Pro"/>
          <w:lang w:val="es-ES_tradnl"/>
        </w:rPr>
        <w:t>pequeña fracción de los gastos anuales [de la Oficina de Grabado e Impresión]</w:t>
      </w:r>
      <w:r w:rsidR="005C1B1A">
        <w:rPr>
          <w:rFonts w:ascii="Myriad Pro" w:hAnsi="Myriad Pro"/>
          <w:lang w:val="es-ES_tradnl"/>
        </w:rPr>
        <w:t>’</w:t>
      </w:r>
      <w:r w:rsidR="0078616A">
        <w:rPr>
          <w:rFonts w:ascii="Myriad Pro" w:hAnsi="Myriad Pro"/>
          <w:lang w:val="es-ES_tradnl"/>
        </w:rPr>
        <w:t>”</w:t>
      </w:r>
      <w:r w:rsidRPr="005C1B1A">
        <w:rPr>
          <w:rFonts w:ascii="Myriad Pro" w:hAnsi="Myriad Pro"/>
          <w:lang w:val="es-ES_tradnl"/>
        </w:rPr>
        <w:t>).</w:t>
      </w:r>
    </w:p>
    <w:p w14:paraId="7C85AD44" w14:textId="7F15B7AF" w:rsidR="0087238D" w:rsidRPr="005C1B1A" w:rsidRDefault="00EE76C6" w:rsidP="00D71FA8">
      <w:pPr>
        <w:widowControl w:val="0"/>
        <w:spacing w:after="240"/>
        <w:rPr>
          <w:rFonts w:ascii="Myriad Pro" w:hAnsi="Myriad Pro"/>
          <w:lang w:val="es-ES_tradnl"/>
        </w:rPr>
      </w:pPr>
      <w:r w:rsidRPr="005C1B1A">
        <w:rPr>
          <w:rFonts w:ascii="Myriad Pro" w:hAnsi="Myriad Pro"/>
          <w:lang w:val="es-ES_tradnl"/>
        </w:rPr>
        <w:t xml:space="preserve">Las agencias deben ir más allá de simplemente especular que una modificación solicitada no es factible; la Sección 504 exige que las agencias </w:t>
      </w:r>
      <w:r w:rsidR="0078616A">
        <w:rPr>
          <w:rFonts w:ascii="Myriad Pro" w:hAnsi="Myriad Pro"/>
          <w:lang w:val="es-ES_tradnl"/>
        </w:rPr>
        <w:t>“</w:t>
      </w:r>
      <w:r w:rsidRPr="005C1B1A">
        <w:rPr>
          <w:rFonts w:ascii="Myriad Pro" w:hAnsi="Myriad Pro"/>
          <w:lang w:val="es-ES_tradnl"/>
        </w:rPr>
        <w:t>reúnan la información suficiente de la persona con discapacidad y de expertos calificados, según sea necesario, para determinar qué adaptaciones son necesarias</w:t>
      </w:r>
      <w:r w:rsidR="0078616A">
        <w:rPr>
          <w:rFonts w:ascii="Myriad Pro" w:hAnsi="Myriad Pro"/>
          <w:lang w:val="es-ES_tradnl"/>
        </w:rPr>
        <w:t>”</w:t>
      </w:r>
      <w:r w:rsidRPr="005C1B1A">
        <w:rPr>
          <w:rFonts w:ascii="Myriad Pro" w:hAnsi="Myriad Pro"/>
          <w:lang w:val="es-ES_tradnl"/>
        </w:rPr>
        <w:t xml:space="preserve">. </w:t>
      </w:r>
      <w:r w:rsidRPr="005C1B1A">
        <w:rPr>
          <w:rFonts w:ascii="Myriad Pro" w:hAnsi="Myriad Pro"/>
          <w:i/>
          <w:iCs/>
          <w:lang w:val="es-ES_tradnl"/>
        </w:rPr>
        <w:t>Mark H.</w:t>
      </w:r>
      <w:r w:rsidRPr="005C1B1A">
        <w:rPr>
          <w:rFonts w:ascii="Myriad Pro" w:hAnsi="Myriad Pro"/>
          <w:lang w:val="es-ES_tradnl"/>
        </w:rPr>
        <w:t xml:space="preserve">, 620 F.3d en 1098 (citando </w:t>
      </w:r>
      <w:r w:rsidRPr="005C1B1A">
        <w:rPr>
          <w:rFonts w:ascii="Myriad Pro" w:hAnsi="Myriad Pro"/>
          <w:i/>
          <w:iCs/>
          <w:lang w:val="es-ES_tradnl"/>
        </w:rPr>
        <w:t>Duvall v. County of Kitsap</w:t>
      </w:r>
      <w:r w:rsidRPr="005C1B1A">
        <w:rPr>
          <w:rFonts w:ascii="Myriad Pro" w:hAnsi="Myriad Pro"/>
          <w:lang w:val="es-ES_tradnl"/>
        </w:rPr>
        <w:t xml:space="preserve">, 260 F.3d 1124, 1136 (9th Cir. 2001)). Véase también </w:t>
      </w:r>
      <w:r w:rsidRPr="005C1B1A">
        <w:rPr>
          <w:rFonts w:ascii="Myriad Pro" w:hAnsi="Myriad Pro"/>
          <w:i/>
          <w:iCs/>
          <w:lang w:val="es-ES_tradnl"/>
        </w:rPr>
        <w:t>Lane v. Peña</w:t>
      </w:r>
      <w:r w:rsidRPr="005C1B1A">
        <w:rPr>
          <w:rFonts w:ascii="Myriad Pro" w:hAnsi="Myriad Pro"/>
          <w:lang w:val="es-ES_tradnl"/>
        </w:rPr>
        <w:t xml:space="preserve">, 867 F. Supp. 1050, 1069-71 (D.D.C. 1994) (opinión memorándum) (no se estableció la existencia de una dificultad excesiva al hacer referencia a una ley federal que no exigía el cumplimiento estricto de la política en cuestión, y los antecedentes de adaptaciones a dicha política constituían evidencia </w:t>
      </w:r>
      <w:r w:rsidRPr="005C1B1A">
        <w:rPr>
          <w:rFonts w:ascii="Myriad Pro" w:hAnsi="Myriad Pro"/>
          <w:lang w:val="es-ES_tradnl"/>
        </w:rPr>
        <w:lastRenderedPageBreak/>
        <w:t>en contra de la existencia de una dificultad excesiva).</w:t>
      </w:r>
    </w:p>
    <w:p w14:paraId="177B7B46" w14:textId="082DECDA" w:rsidR="00DD0A84" w:rsidRPr="005C1B1A" w:rsidRDefault="00EE76C6" w:rsidP="00F30383">
      <w:pPr>
        <w:pStyle w:val="Heading2"/>
        <w:rPr>
          <w:lang w:val="es-ES_tradnl"/>
        </w:rPr>
      </w:pPr>
      <w:r w:rsidRPr="005C1B1A">
        <w:rPr>
          <w:lang w:val="es-ES_tradnl"/>
        </w:rPr>
        <w:t xml:space="preserve">Ejemplo de caso: Modificación </w:t>
      </w:r>
      <w:r w:rsidR="0078616A">
        <w:rPr>
          <w:lang w:val="es-ES_tradnl"/>
        </w:rPr>
        <w:t>“</w:t>
      </w:r>
      <w:r w:rsidRPr="005C1B1A">
        <w:rPr>
          <w:lang w:val="es-ES_tradnl"/>
        </w:rPr>
        <w:t>razonable</w:t>
      </w:r>
      <w:r w:rsidR="0078616A">
        <w:rPr>
          <w:lang w:val="es-ES_tradnl"/>
        </w:rPr>
        <w:t>”</w:t>
      </w:r>
      <w:r w:rsidRPr="005C1B1A">
        <w:rPr>
          <w:lang w:val="es-ES_tradnl"/>
        </w:rPr>
        <w:t xml:space="preserve"> que no supone una </w:t>
      </w:r>
      <w:r w:rsidR="0078616A">
        <w:rPr>
          <w:lang w:val="es-ES_tradnl"/>
        </w:rPr>
        <w:t>“</w:t>
      </w:r>
      <w:r w:rsidRPr="005C1B1A">
        <w:rPr>
          <w:lang w:val="es-ES_tradnl"/>
        </w:rPr>
        <w:t>dificultad excesiva</w:t>
      </w:r>
      <w:r w:rsidR="0078616A">
        <w:rPr>
          <w:lang w:val="es-ES_tradnl"/>
        </w:rPr>
        <w:t>”</w:t>
      </w:r>
      <w:r w:rsidRPr="005C1B1A">
        <w:rPr>
          <w:lang w:val="es-ES_tradnl"/>
        </w:rPr>
        <w:t xml:space="preserve"> ni una </w:t>
      </w:r>
      <w:r w:rsidR="0078616A">
        <w:rPr>
          <w:lang w:val="es-ES_tradnl"/>
        </w:rPr>
        <w:t>“</w:t>
      </w:r>
      <w:r w:rsidRPr="005C1B1A">
        <w:rPr>
          <w:lang w:val="es-ES_tradnl"/>
        </w:rPr>
        <w:t>alteración fundamental</w:t>
      </w:r>
      <w:r w:rsidR="0078616A">
        <w:rPr>
          <w:lang w:val="es-ES_tradnl"/>
        </w:rPr>
        <w:t>”</w:t>
      </w:r>
    </w:p>
    <w:p w14:paraId="46081037" w14:textId="19732AE6" w:rsidR="00DD0A84" w:rsidRPr="005C1B1A" w:rsidRDefault="00EE76C6" w:rsidP="00D71FA8">
      <w:pPr>
        <w:widowControl w:val="0"/>
        <w:spacing w:after="240"/>
        <w:rPr>
          <w:rFonts w:ascii="Myriad Pro" w:hAnsi="Myriad Pro"/>
          <w:lang w:val="es-ES_tradnl"/>
        </w:rPr>
      </w:pPr>
      <w:r w:rsidRPr="005C1B1A">
        <w:rPr>
          <w:rFonts w:ascii="Myriad Pro" w:hAnsi="Myriad Pro"/>
          <w:lang w:val="es-ES_tradnl"/>
        </w:rPr>
        <w:t>En la Reclamación N.º 004606-22-ICE, un detenido alegó que se le aplicaron restricciones físicas completas durante 19 horas, a pesar de que ya presentaba una lesión vendada en el tobillo y el pie, por lo cual utilizaba un andador. Las restricciones en su pierna le causaron dolor, angustia, llanto y lesiones físicas adicionales. Los agentes de ICE rechazaron las reiteradas solicitudes del reclamante para que se ajustaran las restricciones. Su solicitud posterior al personal médico contratado por ICE de que no se le aplicaran restricciones en la pierna en el futuro también fue rechazada. En 2023, la Oficina de Derechos Civiles y Libertades Civiles (CRCL) del Departamento de Seguridad Nacional (DHS) determinó que ICE discriminó al reclamante al negarse a ajustar las restricciones en la pierna:</w:t>
      </w:r>
    </w:p>
    <w:p w14:paraId="53AD3923" w14:textId="08E17E98" w:rsidR="00400E5F" w:rsidRPr="005C1B1A" w:rsidRDefault="00EE76C6" w:rsidP="00DD4F6D">
      <w:pPr>
        <w:widowControl w:val="0"/>
        <w:spacing w:after="240"/>
        <w:ind w:left="720"/>
        <w:rPr>
          <w:rFonts w:ascii="Myriad Pro" w:hAnsi="Myriad Pro"/>
          <w:lang w:val="es-ES_tradnl"/>
        </w:rPr>
      </w:pPr>
      <w:r w:rsidRPr="005C1B1A">
        <w:rPr>
          <w:rFonts w:ascii="Myriad Pro" w:hAnsi="Myriad Pro"/>
          <w:lang w:val="es-ES_tradnl"/>
        </w:rPr>
        <w:t>Las solicitudes del reclamante eran razonables, ya que era necesario ajustar o retirar las restricciones en las piernas a la luz de su discapacidad motora, especialmente porque dichas restricciones se aplicaron directamente sobre la zona lesionada, durante un período de tiempo excesivo, y provocaron lesiones adicionales en el tobillo y el pie del reclamante. Además, ajustar o retirar las restricciones en las piernas no habría supuesto una carga financiera o administrativa indebida, ni una alteración fundamental de la política, ya que la propia política de ICE permite excepciones para personas con discapacidades físicas o lesiones, y no hay indicios en el expediente de que el reclamante representara una amenaza para su propia seguridad o la de quienes lo rodeaban.</w:t>
      </w:r>
    </w:p>
    <w:p w14:paraId="4E420C80" w14:textId="3FB8219B" w:rsidR="00DD0A84" w:rsidRPr="005C1B1A" w:rsidRDefault="00EE76C6" w:rsidP="00DD4F6D">
      <w:pPr>
        <w:widowControl w:val="0"/>
        <w:spacing w:after="240"/>
        <w:rPr>
          <w:rFonts w:ascii="Myriad Pro" w:hAnsi="Myriad Pro"/>
          <w:lang w:val="es-ES_tradnl"/>
        </w:rPr>
      </w:pPr>
      <w:r w:rsidRPr="005C1B1A">
        <w:rPr>
          <w:rFonts w:ascii="Myriad Pro" w:hAnsi="Myriad Pro"/>
          <w:lang w:val="es-ES_tradnl"/>
        </w:rPr>
        <w:t>14 de junio de 2023, carta de la CRCL (en la que se ordena la actualización de la política de restricciones físicas) (archivada en el DREDF).</w:t>
      </w:r>
      <w:r w:rsidR="00400E5F" w:rsidRPr="005C1B1A">
        <w:rPr>
          <w:rFonts w:ascii="Myriad Pro" w:hAnsi="Myriad Pro"/>
          <w:lang w:val="es-ES_tradnl"/>
        </w:rPr>
        <w:t xml:space="preserve"> </w:t>
      </w:r>
    </w:p>
    <w:p w14:paraId="7F91DA79" w14:textId="371F9EB7" w:rsidR="00B46413" w:rsidRPr="005C1B1A" w:rsidRDefault="00EE76C6" w:rsidP="00425BDA">
      <w:pPr>
        <w:pStyle w:val="Heading1"/>
        <w:rPr>
          <w:lang w:val="es-ES_tradnl"/>
        </w:rPr>
      </w:pPr>
      <w:r w:rsidRPr="005C1B1A">
        <w:rPr>
          <w:lang w:val="es-ES_tradnl"/>
        </w:rPr>
        <w:t>Aplicación de los derechos previstos en la Sección 504</w:t>
      </w:r>
    </w:p>
    <w:p w14:paraId="0F60979D" w14:textId="672FEA2E" w:rsidR="00B46413" w:rsidRPr="005C1B1A" w:rsidRDefault="005A3B51" w:rsidP="00D71FA8">
      <w:pPr>
        <w:widowControl w:val="0"/>
        <w:spacing w:after="240"/>
        <w:rPr>
          <w:rFonts w:ascii="Myriad Pro" w:hAnsi="Myriad Pro"/>
          <w:lang w:val="es-ES_tradnl"/>
        </w:rPr>
      </w:pPr>
      <w:r w:rsidRPr="005C1B1A">
        <w:rPr>
          <w:rFonts w:ascii="Myriad Pro" w:hAnsi="Myriad Pro"/>
          <w:lang w:val="es-ES_tradnl"/>
        </w:rPr>
        <w:t>El primer paso para aplicar la Sección 504 ante las agencias de inmigración consiste en comunicarse por escrito con los funcionarios responsables para informarles sobre las necesidades de la persona con discapacidad. Entre estos funcionarios pueden figurar los jueces de la EOIR y la BIA, los directores de los centros de detención (junto con los coordinadores de adaptaciones por discapacidad) y otros funcionarios designados para tramitar solicitudes de adaptaciones por discapacidad.</w:t>
      </w:r>
      <w:r w:rsidR="00B46413" w:rsidRPr="005C1B1A">
        <w:rPr>
          <w:rStyle w:val="FootnoteReference"/>
          <w:rFonts w:ascii="Myriad Pro" w:hAnsi="Myriad Pro"/>
          <w:lang w:val="es-ES_tradnl"/>
        </w:rPr>
        <w:footnoteReference w:id="9"/>
      </w:r>
      <w:r w:rsidR="00B46413" w:rsidRPr="005C1B1A">
        <w:rPr>
          <w:rFonts w:ascii="Myriad Pro" w:hAnsi="Myriad Pro"/>
          <w:lang w:val="es-ES_tradnl"/>
        </w:rPr>
        <w:t xml:space="preserve"> </w:t>
      </w:r>
      <w:r w:rsidRPr="005C1B1A">
        <w:rPr>
          <w:rFonts w:ascii="Myriad Pro" w:hAnsi="Myriad Pro"/>
          <w:lang w:val="es-ES_tradnl"/>
        </w:rPr>
        <w:t xml:space="preserve">Es importante que estas </w:t>
      </w:r>
      <w:r w:rsidRPr="005C1B1A">
        <w:rPr>
          <w:rFonts w:ascii="Myriad Pro" w:hAnsi="Myriad Pro"/>
          <w:lang w:val="es-ES_tradnl"/>
        </w:rPr>
        <w:lastRenderedPageBreak/>
        <w:t>comunicaciones sean específicas y estén documentadas. Si la persona con discapacidad se encuentra detenida en un centro privado, podría ser conveniente enviar una copia a un funcionario de la oficina de campo de ICE con jurisdicción sobre dicho centro.</w:t>
      </w:r>
      <w:r w:rsidR="00B46413" w:rsidRPr="005C1B1A">
        <w:rPr>
          <w:rStyle w:val="FootnoteReference"/>
          <w:rFonts w:ascii="Myriad Pro" w:hAnsi="Myriad Pro"/>
          <w:lang w:val="es-ES_tradnl"/>
        </w:rPr>
        <w:footnoteReference w:id="10"/>
      </w:r>
      <w:r w:rsidR="00B46413" w:rsidRPr="005C1B1A">
        <w:rPr>
          <w:rFonts w:ascii="Myriad Pro" w:hAnsi="Myriad Pro"/>
          <w:lang w:val="es-ES_tradnl"/>
        </w:rPr>
        <w:t xml:space="preserve"> </w:t>
      </w:r>
      <w:r w:rsidRPr="005C1B1A">
        <w:rPr>
          <w:rFonts w:ascii="Myriad Pro" w:hAnsi="Myriad Pro"/>
          <w:lang w:val="es-ES_tradnl"/>
        </w:rPr>
        <w:t>El defensor de la persona con discapacidad debe exigir la aplicación de la Sección 504 en cualquier procedimiento de inmigración o detención. La DREDF podría estar disponible para brindar asistencia técnica.</w:t>
      </w:r>
      <w:r w:rsidR="00B46413" w:rsidRPr="005C1B1A">
        <w:rPr>
          <w:rFonts w:ascii="Myriad Pro" w:hAnsi="Myriad Pro"/>
          <w:lang w:val="es-ES_tradnl"/>
        </w:rPr>
        <w:t xml:space="preserve"> </w:t>
      </w:r>
    </w:p>
    <w:p w14:paraId="648D24DF" w14:textId="42E4FE70" w:rsidR="00B46413" w:rsidRPr="005C1B1A" w:rsidRDefault="005A3B51" w:rsidP="00D71FA8">
      <w:pPr>
        <w:widowControl w:val="0"/>
        <w:spacing w:after="240"/>
        <w:rPr>
          <w:rFonts w:ascii="Myriad Pro" w:hAnsi="Myriad Pro"/>
          <w:lang w:val="es-ES_tradnl"/>
        </w:rPr>
      </w:pPr>
      <w:r w:rsidRPr="005C1B1A">
        <w:rPr>
          <w:rFonts w:ascii="Myriad Pro" w:hAnsi="Myriad Pro"/>
          <w:lang w:val="es-ES_tradnl"/>
        </w:rPr>
        <w:t>Las personas con discapacidad que interactúen con las agencias de inmigración también podrían considerar la posibilidad de entablar un litigio. Los tribunales han sostenido que las personas con discapacidad pueden presentar demandas afirmativas en virtud de la Sección 504 contra agencias federales ante un tribunal federal</w:t>
      </w:r>
      <w:r w:rsidR="00B46413" w:rsidRPr="005C1B1A">
        <w:rPr>
          <w:rFonts w:ascii="Myriad Pro" w:hAnsi="Myriad Pro"/>
          <w:lang w:val="es-ES_tradnl"/>
        </w:rPr>
        <w:t>.</w:t>
      </w:r>
      <w:r w:rsidR="00B46413" w:rsidRPr="005C1B1A">
        <w:rPr>
          <w:rStyle w:val="FootnoteReference"/>
          <w:rFonts w:ascii="Myriad Pro" w:hAnsi="Myriad Pro"/>
          <w:lang w:val="es-ES_tradnl"/>
        </w:rPr>
        <w:footnoteReference w:id="11"/>
      </w:r>
      <w:r w:rsidR="00B46413" w:rsidRPr="005C1B1A">
        <w:rPr>
          <w:rFonts w:ascii="Myriad Pro" w:hAnsi="Myriad Pro"/>
          <w:lang w:val="es-ES_tradnl"/>
        </w:rPr>
        <w:t xml:space="preserve"> </w:t>
      </w:r>
      <w:r w:rsidRPr="005C1B1A">
        <w:rPr>
          <w:rFonts w:ascii="Myriad Pro" w:hAnsi="Myriad Pro"/>
          <w:lang w:val="es-ES_tradnl"/>
        </w:rPr>
        <w:t>Algunos tribunales sostienen que dichas demandas deben interponerse mediante un procedimiento en virtud de la Ley de Procedimiento Administrativo (APA, por sus siglas en inglés).</w:t>
      </w:r>
      <w:r w:rsidR="00B46413" w:rsidRPr="005C1B1A">
        <w:rPr>
          <w:rStyle w:val="FootnoteReference"/>
          <w:rFonts w:ascii="Myriad Pro" w:hAnsi="Myriad Pro"/>
          <w:lang w:val="es-ES_tradnl"/>
        </w:rPr>
        <w:footnoteReference w:id="12"/>
      </w:r>
      <w:r w:rsidR="00B46413" w:rsidRPr="005C1B1A">
        <w:rPr>
          <w:rFonts w:ascii="Myriad Pro" w:hAnsi="Myriad Pro"/>
          <w:lang w:val="es-ES_tradnl"/>
        </w:rPr>
        <w:t xml:space="preserve"> </w:t>
      </w:r>
    </w:p>
    <w:p w14:paraId="7C92F25D" w14:textId="622DC3C7" w:rsidR="002B4C89" w:rsidRPr="005C1B1A" w:rsidRDefault="005A3B51" w:rsidP="00425BDA">
      <w:pPr>
        <w:pStyle w:val="Heading1"/>
        <w:rPr>
          <w:lang w:val="es-ES_tradnl"/>
        </w:rPr>
      </w:pPr>
      <w:r w:rsidRPr="005C1B1A">
        <w:rPr>
          <w:lang w:val="es-ES_tradnl"/>
        </w:rPr>
        <w:t>Contratistas privados en el sistema de inmigración</w:t>
      </w:r>
    </w:p>
    <w:p w14:paraId="649CB6FF" w14:textId="140D5260" w:rsidR="00BC3621" w:rsidRPr="005C1B1A" w:rsidRDefault="005A3B51" w:rsidP="00D71FA8">
      <w:pPr>
        <w:widowControl w:val="0"/>
        <w:spacing w:after="240"/>
        <w:rPr>
          <w:rFonts w:ascii="Myriad Pro" w:hAnsi="Myriad Pro"/>
          <w:lang w:val="es-ES_tradnl"/>
        </w:rPr>
      </w:pPr>
      <w:r w:rsidRPr="005C1B1A">
        <w:rPr>
          <w:rFonts w:ascii="Myriad Pro" w:hAnsi="Myriad Pro"/>
          <w:lang w:val="es-ES_tradnl"/>
        </w:rPr>
        <w:t>La mayor parte de la detención de ICE se lleva a cabo en centros de detención privados. Por lo general, los contratistas privados —incluidos los centros de detención privados— no están sujetos directamente a la Sección 504. Aunque estos contratistas reciben fondos federales, un contrato de adquisición federal no se considera asistencia financiera federal a los efectos de la Sección 504. Se hace una excepción cuando el acuerdo equivale a un subsidio federal.</w:t>
      </w:r>
      <w:r w:rsidR="00BC3621" w:rsidRPr="005C1B1A">
        <w:rPr>
          <w:rStyle w:val="FootnoteReference"/>
          <w:rFonts w:ascii="Myriad Pro" w:hAnsi="Myriad Pro"/>
          <w:lang w:val="es-ES_tradnl"/>
        </w:rPr>
        <w:footnoteReference w:id="13"/>
      </w:r>
      <w:r w:rsidR="00BC3621" w:rsidRPr="005C1B1A">
        <w:rPr>
          <w:rFonts w:ascii="Myriad Pro" w:hAnsi="Myriad Pro"/>
          <w:lang w:val="es-ES_tradnl"/>
        </w:rPr>
        <w:t xml:space="preserve"> </w:t>
      </w:r>
    </w:p>
    <w:p w14:paraId="1761BE5B" w14:textId="0D983EA9" w:rsidR="00BC5C5B" w:rsidRPr="005C1B1A" w:rsidRDefault="00E161BC" w:rsidP="00D71FA8">
      <w:pPr>
        <w:widowControl w:val="0"/>
        <w:spacing w:after="240"/>
        <w:rPr>
          <w:rFonts w:ascii="Myriad Pro" w:hAnsi="Myriad Pro"/>
          <w:lang w:val="es-ES_tradnl"/>
        </w:rPr>
      </w:pPr>
      <w:r w:rsidRPr="005C1B1A">
        <w:rPr>
          <w:rFonts w:ascii="Myriad Pro" w:hAnsi="Myriad Pro"/>
          <w:lang w:val="es-ES_tradnl"/>
        </w:rPr>
        <w:t>Sin embargo, la agencia federal sigue estando obligada a garantizar que su contratista privado respete los principios de la Sección 504, lo que incluye proporcionar beneficios y servicios a los detenidos con discapacidad que sean equivalentes (incluida la misma seguridad) y tan eficaces como los que se brindan a los detenidos sin discapacidad.</w:t>
      </w:r>
      <w:r w:rsidR="00B46413" w:rsidRPr="005C1B1A">
        <w:rPr>
          <w:rStyle w:val="FootnoteReference"/>
          <w:rFonts w:ascii="Myriad Pro" w:hAnsi="Myriad Pro"/>
          <w:lang w:val="es-ES_tradnl"/>
        </w:rPr>
        <w:footnoteReference w:id="14"/>
      </w:r>
      <w:r w:rsidR="00BC5C5B" w:rsidRPr="005C1B1A">
        <w:rPr>
          <w:rFonts w:ascii="Myriad Pro" w:hAnsi="Myriad Pro"/>
          <w:lang w:val="es-ES_tradnl"/>
        </w:rPr>
        <w:t xml:space="preserve"> </w:t>
      </w:r>
      <w:r w:rsidRPr="005C1B1A">
        <w:rPr>
          <w:rFonts w:ascii="Myriad Pro" w:hAnsi="Myriad Pro"/>
          <w:lang w:val="es-ES_tradnl"/>
        </w:rPr>
        <w:t xml:space="preserve">Se </w:t>
      </w:r>
      <w:r w:rsidRPr="005C1B1A">
        <w:rPr>
          <w:rFonts w:ascii="Myriad Pro" w:hAnsi="Myriad Pro"/>
          <w:lang w:val="es-ES_tradnl"/>
        </w:rPr>
        <w:lastRenderedPageBreak/>
        <w:t>pueden interponer demandas ante ICE por el incumplimiento en la aplicación de la Sección 504.</w:t>
      </w:r>
      <w:r w:rsidR="00CA61B0" w:rsidRPr="005C1B1A">
        <w:rPr>
          <w:rStyle w:val="FootnoteReference"/>
          <w:rFonts w:ascii="Myriad Pro" w:hAnsi="Myriad Pro"/>
          <w:lang w:val="es-ES_tradnl"/>
        </w:rPr>
        <w:footnoteReference w:id="15"/>
      </w:r>
    </w:p>
    <w:p w14:paraId="33F67BF5" w14:textId="3C3DEA00" w:rsidR="002C3A18" w:rsidRPr="005C1B1A" w:rsidRDefault="00E161BC" w:rsidP="00D71FA8">
      <w:pPr>
        <w:widowControl w:val="0"/>
        <w:spacing w:after="240"/>
        <w:rPr>
          <w:rFonts w:ascii="Myriad Pro" w:hAnsi="Myriad Pro"/>
          <w:lang w:val="es-ES_tradnl"/>
        </w:rPr>
      </w:pPr>
      <w:r w:rsidRPr="005C1B1A">
        <w:rPr>
          <w:rFonts w:ascii="Myriad Pro" w:hAnsi="Myriad Pro"/>
          <w:lang w:val="es-ES_tradnl"/>
        </w:rPr>
        <w:t xml:space="preserve">Los contratistas privados están sujetos a otras leyes. Los tribunales han dictaminado que los detenidos con discapacidad pueden demandar a los contratistas que prestan servicios médicos, de salud mental y de transporte en virtud de las leyes contra la discriminación por discapacidad, tales como el Título III de la ADA (con su correspondiente traducción entre paréntesis: </w:t>
      </w:r>
      <w:r w:rsidRPr="005C1B1A">
        <w:rPr>
          <w:rFonts w:ascii="Myriad Pro" w:hAnsi="Myriad Pro"/>
          <w:i/>
          <w:iCs/>
          <w:lang w:val="es-ES_tradnl"/>
        </w:rPr>
        <w:t>Americans with Disabilities Act</w:t>
      </w:r>
      <w:r w:rsidRPr="005C1B1A">
        <w:rPr>
          <w:rFonts w:ascii="Myriad Pro" w:hAnsi="Myriad Pro"/>
          <w:lang w:val="es-ES_tradnl"/>
        </w:rPr>
        <w:t xml:space="preserve"> [Ley sobre Estadounidenses con Discapacidades]) y la Ley Unruh de Derechos Civiles de California (</w:t>
      </w:r>
      <w:r w:rsidRPr="005C1B1A">
        <w:rPr>
          <w:rFonts w:ascii="Myriad Pro" w:hAnsi="Myriad Pro"/>
          <w:i/>
          <w:iCs/>
          <w:lang w:val="es-ES_tradnl"/>
        </w:rPr>
        <w:t>Unruh Civil Rights Act</w:t>
      </w:r>
      <w:r w:rsidRPr="005C1B1A">
        <w:rPr>
          <w:rFonts w:ascii="Myriad Pro" w:hAnsi="Myriad Pro"/>
          <w:lang w:val="es-ES_tradnl"/>
        </w:rPr>
        <w:t>).</w:t>
      </w:r>
      <w:r w:rsidR="00F7351A" w:rsidRPr="005C1B1A">
        <w:rPr>
          <w:rStyle w:val="FootnoteReference"/>
          <w:rFonts w:ascii="Myriad Pro" w:hAnsi="Myriad Pro"/>
          <w:lang w:val="es-ES_tradnl"/>
        </w:rPr>
        <w:footnoteReference w:id="16"/>
      </w:r>
      <w:r w:rsidR="00F7351A" w:rsidRPr="005C1B1A">
        <w:rPr>
          <w:rFonts w:ascii="Myriad Pro" w:hAnsi="Myriad Pro"/>
          <w:lang w:val="es-ES_tradnl"/>
        </w:rPr>
        <w:t xml:space="preserve"> </w:t>
      </w:r>
      <w:r w:rsidRPr="005C1B1A">
        <w:rPr>
          <w:rFonts w:ascii="Myriad Pro" w:hAnsi="Myriad Pro"/>
          <w:lang w:val="es-ES_tradnl"/>
        </w:rPr>
        <w:t>Se podrían interponer demandas adicionales contra los contratistas privados por conducta intencional o negligente conforme a las leyes estatales y federales.</w:t>
      </w:r>
    </w:p>
    <w:p w14:paraId="5B980EF1" w14:textId="151DC090" w:rsidR="00453316" w:rsidRPr="005C1B1A" w:rsidRDefault="005C1B1A" w:rsidP="00425BDA">
      <w:pPr>
        <w:pStyle w:val="Heading1"/>
        <w:rPr>
          <w:lang w:val="es-ES_tradnl"/>
        </w:rPr>
      </w:pPr>
      <w:r w:rsidRPr="005C1B1A">
        <w:rPr>
          <w:lang w:val="es-ES_tradnl"/>
        </w:rPr>
        <w:t>Puntos clave y próximos pasos</w:t>
      </w:r>
    </w:p>
    <w:p w14:paraId="3467C27E" w14:textId="5B5B687C" w:rsidR="00DD4F6D" w:rsidRPr="005C1B1A" w:rsidRDefault="005C1B1A" w:rsidP="00D71FA8">
      <w:pPr>
        <w:widowControl w:val="0"/>
        <w:spacing w:after="240"/>
        <w:rPr>
          <w:rFonts w:ascii="Myriad Pro" w:hAnsi="Myriad Pro"/>
          <w:lang w:val="es-ES_tradnl"/>
        </w:rPr>
      </w:pPr>
      <w:r w:rsidRPr="005C1B1A">
        <w:rPr>
          <w:rFonts w:ascii="Myriad Pro" w:hAnsi="Myriad Pro"/>
          <w:lang w:val="es-ES_tradnl"/>
        </w:rPr>
        <w:t>Muchos inmigrantes que interactúan con el sistema de inmigración de los Estados Unidos tienen discapacidad y están protegidos contra la discriminación por discapacidad, además de tener derecho a adaptaciones razonables en virtud de la Sección 504.</w:t>
      </w:r>
    </w:p>
    <w:p w14:paraId="2EA52A0B" w14:textId="0AF54B63" w:rsidR="00F57A07" w:rsidRPr="005C1B1A" w:rsidRDefault="005C1B1A" w:rsidP="00D71FA8">
      <w:pPr>
        <w:widowControl w:val="0"/>
        <w:spacing w:after="240"/>
        <w:rPr>
          <w:rFonts w:ascii="Myriad Pro" w:hAnsi="Myriad Pro"/>
          <w:lang w:val="es-ES_tradnl"/>
        </w:rPr>
      </w:pPr>
      <w:r w:rsidRPr="005C1B1A">
        <w:rPr>
          <w:rFonts w:ascii="Myriad Pro" w:hAnsi="Myriad Pro"/>
          <w:lang w:val="es-ES_tradnl"/>
        </w:rPr>
        <w:t xml:space="preserve">La Sección 504 se aplica a las entidades federales más directamente involucradas en la inmigración: DOJ, EOIR, BIA, DHS, ICE, USCIS y CBP. Por lo general, la Sección 504 </w:t>
      </w:r>
      <w:r w:rsidRPr="005C1B1A">
        <w:rPr>
          <w:rFonts w:ascii="Myriad Pro" w:hAnsi="Myriad Pro"/>
          <w:u w:val="single"/>
          <w:lang w:val="es-ES_tradnl"/>
        </w:rPr>
        <w:t>no</w:t>
      </w:r>
      <w:r w:rsidRPr="005C1B1A">
        <w:rPr>
          <w:rFonts w:ascii="Myriad Pro" w:hAnsi="Myriad Pro"/>
          <w:lang w:val="es-ES_tradnl"/>
        </w:rPr>
        <w:t xml:space="preserve"> se aplica directamente a los contratistas privados, como los centros de detención privados; sin embargo, DHS e ICE siguen siendo responsables de garantizar que sus contratistas cumplan con los estándares de la Sección 504. Los contratistas privados pueden estar sujetos a otras leyes.</w:t>
      </w:r>
    </w:p>
    <w:p w14:paraId="7A929D19" w14:textId="461E9280" w:rsidR="00CD3B79" w:rsidRPr="005C1B1A" w:rsidRDefault="005C1B1A" w:rsidP="00D71FA8">
      <w:pPr>
        <w:widowControl w:val="0"/>
        <w:spacing w:after="240"/>
        <w:rPr>
          <w:rFonts w:ascii="Myriad Pro" w:hAnsi="Myriad Pro"/>
          <w:lang w:val="es-ES_tradnl"/>
        </w:rPr>
      </w:pPr>
      <w:r w:rsidRPr="005C1B1A">
        <w:rPr>
          <w:rFonts w:ascii="Myriad Pro" w:hAnsi="Myriad Pro"/>
          <w:lang w:val="es-ES_tradnl"/>
        </w:rPr>
        <w:t>La Sección 504 exige que las agencias de inmigración federales garanticen que los inmigrantes con discapacidad tengan acceso a todos los programas y actividades pertinentes, incluso mediante el suministro de adaptaciones razonables. Las personas con discapacidad pueden solicitar las adaptaciones razonables que necesiten para acceder en igualdad de condiciones a sus procesos de inmigración. Los detenidos con discapacidad pueden solicitar adaptaciones para garantizar su seguridad y acceder en igualdad de condiciones a los programas y servicios.</w:t>
      </w:r>
    </w:p>
    <w:p w14:paraId="217AECF4" w14:textId="12B3A9D4" w:rsidR="00E5016D" w:rsidRPr="005C1B1A" w:rsidRDefault="005C1B1A" w:rsidP="00D71FA8">
      <w:pPr>
        <w:widowControl w:val="0"/>
        <w:spacing w:after="240"/>
        <w:rPr>
          <w:rFonts w:ascii="Myriad Pro" w:hAnsi="Myriad Pro"/>
          <w:lang w:val="es-ES_tradnl"/>
        </w:rPr>
      </w:pPr>
      <w:r w:rsidRPr="005C1B1A">
        <w:rPr>
          <w:rFonts w:ascii="Myriad Pro" w:hAnsi="Myriad Pro"/>
          <w:lang w:val="es-ES_tradnl"/>
        </w:rPr>
        <w:t xml:space="preserve">Las agencias federales no están obligadas a otorgar adaptaciones razonables que supongan una carga excesiva o una alteración fundamental. Tampoco están obligadas a hacer excepciones a los criterios de elegibilidad </w:t>
      </w:r>
      <w:r w:rsidR="0078616A">
        <w:rPr>
          <w:rFonts w:ascii="Myriad Pro" w:hAnsi="Myriad Pro"/>
          <w:lang w:val="es-ES_tradnl"/>
        </w:rPr>
        <w:t>“</w:t>
      </w:r>
      <w:r w:rsidRPr="005C1B1A">
        <w:rPr>
          <w:rFonts w:ascii="Myriad Pro" w:hAnsi="Myriad Pro"/>
          <w:lang w:val="es-ES_tradnl"/>
        </w:rPr>
        <w:t>esenciales</w:t>
      </w:r>
      <w:r w:rsidR="0078616A">
        <w:rPr>
          <w:rFonts w:ascii="Myriad Pro" w:hAnsi="Myriad Pro"/>
          <w:lang w:val="es-ES_tradnl"/>
        </w:rPr>
        <w:t>”</w:t>
      </w:r>
      <w:r w:rsidRPr="005C1B1A">
        <w:rPr>
          <w:rFonts w:ascii="Myriad Pro" w:hAnsi="Myriad Pro"/>
          <w:lang w:val="es-ES_tradnl"/>
        </w:rPr>
        <w:t xml:space="preserve">. En otras palabras, la Sección 504 establece que las agencias deben tratar a los inmigrantes con discapacidad de manera equitativa; sin embargo, las normas básicas de inmigración siguen siendo aplicables. No obstante, la aplicación de la Sección 504 puede ayudar a los inmigrantes con discapacidad a </w:t>
      </w:r>
      <w:r w:rsidRPr="005C1B1A">
        <w:rPr>
          <w:rFonts w:ascii="Myriad Pro" w:hAnsi="Myriad Pro"/>
          <w:lang w:val="es-ES_tradnl"/>
        </w:rPr>
        <w:lastRenderedPageBreak/>
        <w:t>tener un acceso más seguro y eficaz a los programas y actividades de inmigración.</w:t>
      </w:r>
    </w:p>
    <w:p w14:paraId="77D64F9D" w14:textId="5010135B" w:rsidR="00C2684B" w:rsidRPr="005C1B1A" w:rsidRDefault="005C1B1A" w:rsidP="00D71FA8">
      <w:pPr>
        <w:widowControl w:val="0"/>
        <w:spacing w:after="240"/>
        <w:rPr>
          <w:rFonts w:ascii="Myriad Pro" w:hAnsi="Myriad Pro"/>
          <w:lang w:val="es-ES_tradnl"/>
        </w:rPr>
      </w:pPr>
      <w:r w:rsidRPr="005C1B1A">
        <w:rPr>
          <w:rFonts w:ascii="Myriad Pro" w:hAnsi="Myriad Pro"/>
          <w:lang w:val="es-ES_tradnl"/>
        </w:rPr>
        <w:t xml:space="preserve">En general, la DREDF desaconseja plantear en este momento teorías de </w:t>
      </w:r>
      <w:r w:rsidR="0078616A">
        <w:rPr>
          <w:rFonts w:ascii="Myriad Pro" w:hAnsi="Myriad Pro"/>
          <w:lang w:val="es-ES_tradnl"/>
        </w:rPr>
        <w:t>“</w:t>
      </w:r>
      <w:r w:rsidRPr="005C1B1A">
        <w:rPr>
          <w:rFonts w:ascii="Myriad Pro" w:hAnsi="Myriad Pro"/>
          <w:lang w:val="es-ES_tradnl"/>
        </w:rPr>
        <w:t>impacto dispar</w:t>
      </w:r>
      <w:r w:rsidR="0078616A">
        <w:rPr>
          <w:rFonts w:ascii="Myriad Pro" w:hAnsi="Myriad Pro"/>
          <w:lang w:val="es-ES_tradnl"/>
        </w:rPr>
        <w:t>”</w:t>
      </w:r>
      <w:r w:rsidRPr="005C1B1A">
        <w:rPr>
          <w:rFonts w:ascii="Myriad Pro" w:hAnsi="Myriad Pro"/>
          <w:lang w:val="es-ES_tradnl"/>
        </w:rPr>
        <w:t xml:space="preserve"> en materia de discriminación por discapacidad. Póngase en contacto con la DREDF para obtener asistencia técnica y apoyo al respecto:</w:t>
      </w:r>
      <w:r w:rsidR="00827279" w:rsidRPr="005C1B1A">
        <w:rPr>
          <w:rFonts w:ascii="Myriad Pro" w:hAnsi="Myriad Pro"/>
          <w:lang w:val="es-ES_tradnl"/>
        </w:rPr>
        <w:t xml:space="preserve"> </w:t>
      </w:r>
      <w:hyperlink r:id="rId10" w:history="1">
        <w:r w:rsidR="00827279" w:rsidRPr="005C1B1A">
          <w:rPr>
            <w:rStyle w:val="Hyperlink"/>
            <w:rFonts w:ascii="Myriad Pro" w:hAnsi="Myriad Pro"/>
            <w:lang w:val="es-ES_tradnl"/>
          </w:rPr>
          <w:t>info@dredf.org</w:t>
        </w:r>
      </w:hyperlink>
      <w:r w:rsidR="00E5016D" w:rsidRPr="005C1B1A">
        <w:rPr>
          <w:rFonts w:ascii="Myriad Pro" w:hAnsi="Myriad Pro"/>
          <w:lang w:val="es-ES_tradnl"/>
        </w:rPr>
        <w:t>.</w:t>
      </w:r>
    </w:p>
    <w:p w14:paraId="73BB1DF0" w14:textId="77777777" w:rsidR="00193F62" w:rsidRPr="005C1B1A" w:rsidRDefault="00193F62">
      <w:pPr>
        <w:spacing w:line="276" w:lineRule="auto"/>
        <w:rPr>
          <w:rFonts w:ascii="Myriad Pro" w:hAnsi="Myriad Pro"/>
          <w:b/>
          <w:bCs/>
          <w:sz w:val="32"/>
          <w:szCs w:val="32"/>
          <w:lang w:val="es-ES_tradnl"/>
        </w:rPr>
      </w:pPr>
      <w:r w:rsidRPr="005C1B1A">
        <w:rPr>
          <w:lang w:val="es-ES_tradnl"/>
        </w:rPr>
        <w:br w:type="page"/>
      </w:r>
    </w:p>
    <w:p w14:paraId="1B1E2DDD" w14:textId="7358F803" w:rsidR="002B7C50" w:rsidRPr="005C1B1A" w:rsidRDefault="005C1B1A" w:rsidP="00425BDA">
      <w:pPr>
        <w:pStyle w:val="Heading1"/>
        <w:rPr>
          <w:lang w:val="es-ES_tradnl"/>
        </w:rPr>
      </w:pPr>
      <w:r w:rsidRPr="005C1B1A">
        <w:rPr>
          <w:lang w:val="es-ES_tradnl"/>
        </w:rPr>
        <w:lastRenderedPageBreak/>
        <w:t>Recursos adicionales</w:t>
      </w:r>
    </w:p>
    <w:p w14:paraId="116A76D9" w14:textId="7E923892" w:rsidR="00296956" w:rsidRPr="005C1B1A" w:rsidRDefault="005C1B1A" w:rsidP="00D71FA8">
      <w:pPr>
        <w:widowControl w:val="0"/>
        <w:spacing w:after="240"/>
        <w:rPr>
          <w:rFonts w:ascii="Myriad Pro" w:hAnsi="Myriad Pro"/>
          <w:lang w:val="es-ES_tradnl"/>
        </w:rPr>
      </w:pPr>
      <w:r w:rsidRPr="005C1B1A">
        <w:rPr>
          <w:rFonts w:ascii="Myriad Pro" w:hAnsi="Myriad Pro"/>
          <w:lang w:val="es-ES_tradnl"/>
        </w:rPr>
        <w:t>DREDF, Frequently Asked Questions: Disability, Immigration, and Encounters with ICE (Preguntas frecuentes: Discapacidad, inmigración y encuentros con ICE) (mayo de 2026),</w:t>
      </w:r>
      <w:r w:rsidR="00296956" w:rsidRPr="005C1B1A">
        <w:rPr>
          <w:rFonts w:ascii="Myriad Pro" w:hAnsi="Myriad Pro"/>
          <w:lang w:val="es-ES_tradnl"/>
        </w:rPr>
        <w:t xml:space="preserve"> </w:t>
      </w:r>
      <w:hyperlink r:id="rId11" w:history="1">
        <w:r w:rsidR="00296956" w:rsidRPr="005C1B1A">
          <w:rPr>
            <w:rStyle w:val="Hyperlink"/>
            <w:rFonts w:ascii="Myriad Pro" w:hAnsi="Myriad Pro"/>
            <w:lang w:val="es-ES_tradnl"/>
          </w:rPr>
          <w:t>https://dredf.org/faqs-disability-immigration-and-encounters-with-ice/</w:t>
        </w:r>
      </w:hyperlink>
    </w:p>
    <w:p w14:paraId="7FDB59C2" w14:textId="441325EA" w:rsidR="00296956" w:rsidRPr="005C1B1A" w:rsidRDefault="005C1B1A" w:rsidP="00D71FA8">
      <w:pPr>
        <w:widowControl w:val="0"/>
        <w:spacing w:after="240"/>
        <w:rPr>
          <w:rFonts w:ascii="Myriad Pro" w:hAnsi="Myriad Pro"/>
          <w:lang w:val="es-ES_tradnl"/>
        </w:rPr>
      </w:pPr>
      <w:r w:rsidRPr="005C1B1A">
        <w:rPr>
          <w:rFonts w:ascii="Myriad Pro" w:hAnsi="Myriad Pro"/>
          <w:lang w:val="es-ES_tradnl"/>
        </w:rPr>
        <w:t>DREDF, Know Your Rights: Reasonable Accommodations in Immigration Procedures and Proceedings (Conozca sus derechos: Adaptaciones razonables en procedimientos y procesos de inmigración) (abril de 2026),</w:t>
      </w:r>
      <w:r w:rsidR="00296956" w:rsidRPr="005C1B1A">
        <w:rPr>
          <w:rFonts w:ascii="Myriad Pro" w:hAnsi="Myriad Pro"/>
          <w:lang w:val="es-ES_tradnl"/>
        </w:rPr>
        <w:t xml:space="preserve"> </w:t>
      </w:r>
      <w:hyperlink r:id="rId12" w:history="1">
        <w:r w:rsidR="00296956" w:rsidRPr="005C1B1A">
          <w:rPr>
            <w:rStyle w:val="Hyperlink"/>
            <w:rFonts w:ascii="Myriad Pro" w:hAnsi="Myriad Pro"/>
            <w:lang w:val="es-ES_tradnl"/>
          </w:rPr>
          <w:t>https://dredf.org/kyr-ras-immigration-procedures-and-proceedings/</w:t>
        </w:r>
      </w:hyperlink>
    </w:p>
    <w:p w14:paraId="6F9E3A1A" w14:textId="4FFBAD80" w:rsidR="002B7C50" w:rsidRPr="005C1B1A" w:rsidRDefault="005C1B1A" w:rsidP="00D71FA8">
      <w:pPr>
        <w:widowControl w:val="0"/>
        <w:spacing w:after="240"/>
        <w:rPr>
          <w:rFonts w:ascii="Myriad Pro" w:hAnsi="Myriad Pro"/>
          <w:lang w:val="es-ES_tradnl"/>
        </w:rPr>
      </w:pPr>
      <w:r w:rsidRPr="005C1B1A">
        <w:rPr>
          <w:rFonts w:ascii="Myriad Pro" w:hAnsi="Myriad Pro"/>
          <w:lang w:val="es-ES_tradnl"/>
        </w:rPr>
        <w:t>Laura Lunn et al., NQRP Practice Advisory: Procedural Safeguards and Section 504 of the Rehabilitation Act (Asesoramiento práctico del NQRP: Salvaguardas procesales y Sección 504 de la Ley de Rehabilitación) (octubre de 2023)</w:t>
      </w:r>
      <w:r w:rsidR="002B7C50" w:rsidRPr="005C1B1A">
        <w:rPr>
          <w:rFonts w:ascii="Myriad Pro" w:hAnsi="Myriad Pro"/>
          <w:lang w:val="es-ES_tradnl"/>
        </w:rPr>
        <w:t xml:space="preserve">, </w:t>
      </w:r>
      <w:hyperlink r:id="rId13" w:history="1">
        <w:r w:rsidR="002B7C50" w:rsidRPr="005C1B1A">
          <w:rPr>
            <w:rStyle w:val="Hyperlink"/>
            <w:rFonts w:ascii="Myriad Pro" w:hAnsi="Myriad Pro"/>
            <w:lang w:val="es-ES_tradnl"/>
          </w:rPr>
          <w:t>https://acaciajustice.org/wp-content/uploads/2023/12/2023-10-30-NQRP-Practice-Advisory-Procedural-Safeguards-and-Section-504-FINAL-updated-10-2023.pdf</w:t>
        </w:r>
      </w:hyperlink>
    </w:p>
    <w:p w14:paraId="3F498989" w14:textId="26D8C09B" w:rsidR="002B7C50" w:rsidRPr="005C1B1A" w:rsidRDefault="005C1B1A" w:rsidP="00D71FA8">
      <w:pPr>
        <w:widowControl w:val="0"/>
        <w:spacing w:after="240"/>
        <w:rPr>
          <w:rFonts w:ascii="Myriad Pro" w:hAnsi="Myriad Pro"/>
          <w:lang w:val="es-ES_tradnl"/>
        </w:rPr>
      </w:pPr>
      <w:r w:rsidRPr="005C1B1A">
        <w:rPr>
          <w:rFonts w:ascii="Myriad Pro" w:hAnsi="Myriad Pro"/>
          <w:lang w:val="es-ES_tradnl"/>
        </w:rPr>
        <w:t>Elizabeth Jordan, Accommodating Incompetency in Immigration Court (</w:t>
      </w:r>
      <w:r w:rsidR="0078616A" w:rsidRPr="0078616A">
        <w:rPr>
          <w:rFonts w:ascii="Myriad Pro" w:hAnsi="Myriad Pro"/>
          <w:lang w:val="es-ES_tradnl"/>
        </w:rPr>
        <w:t>Adaptación a la incompetencia en los tribunales de inmigración</w:t>
      </w:r>
      <w:r w:rsidRPr="005C1B1A">
        <w:rPr>
          <w:rFonts w:ascii="Myriad Pro" w:hAnsi="Myriad Pro"/>
          <w:lang w:val="es-ES_tradnl"/>
        </w:rPr>
        <w:t>), 119 Nw. U. L. Rev. 513 (2024)</w:t>
      </w:r>
      <w:r w:rsidR="002B7C50" w:rsidRPr="005C1B1A">
        <w:rPr>
          <w:rFonts w:ascii="Myriad Pro" w:hAnsi="Myriad Pro"/>
          <w:lang w:val="es-ES_tradnl"/>
        </w:rPr>
        <w:t xml:space="preserve">, </w:t>
      </w:r>
      <w:hyperlink r:id="rId14" w:history="1">
        <w:r w:rsidR="002B7C50" w:rsidRPr="005C1B1A">
          <w:rPr>
            <w:rStyle w:val="Hyperlink"/>
            <w:rFonts w:ascii="Myriad Pro" w:hAnsi="Myriad Pro"/>
            <w:lang w:val="es-ES_tradnl"/>
          </w:rPr>
          <w:t>https://scholarlycommons.law.northwestern.edu/nulr/vol119/iss3/1</w:t>
        </w:r>
      </w:hyperlink>
    </w:p>
    <w:p w14:paraId="0F1C269A" w14:textId="549C742E" w:rsidR="002B7C50" w:rsidRPr="005C1B1A" w:rsidRDefault="005C1B1A" w:rsidP="00D71FA8">
      <w:pPr>
        <w:widowControl w:val="0"/>
        <w:spacing w:after="240"/>
        <w:rPr>
          <w:rFonts w:ascii="Myriad Pro" w:hAnsi="Myriad Pro"/>
          <w:lang w:val="es-ES_tradnl"/>
        </w:rPr>
      </w:pPr>
      <w:r w:rsidRPr="005C1B1A">
        <w:rPr>
          <w:rFonts w:ascii="Myriad Pro" w:hAnsi="Myriad Pro"/>
          <w:lang w:val="es-ES_tradnl"/>
        </w:rPr>
        <w:t>American Immigration Council, Nightingale v. USCIS and FOIA Requests for Immigration Case Files (A-Files) (</w:t>
      </w:r>
      <w:r w:rsidR="0078616A">
        <w:rPr>
          <w:rFonts w:ascii="Myriad Pro" w:hAnsi="Myriad Pro"/>
          <w:lang w:val="es-ES_tradnl"/>
        </w:rPr>
        <w:t>“</w:t>
      </w:r>
      <w:r w:rsidRPr="005C1B1A">
        <w:rPr>
          <w:rFonts w:ascii="Myriad Pro" w:hAnsi="Myriad Pro"/>
          <w:lang w:val="es-ES_tradnl"/>
        </w:rPr>
        <w:t>Nightingale v. USCIS</w:t>
      </w:r>
      <w:r w:rsidR="0078616A">
        <w:rPr>
          <w:rFonts w:ascii="Myriad Pro" w:hAnsi="Myriad Pro"/>
          <w:lang w:val="es-ES_tradnl"/>
        </w:rPr>
        <w:t>”</w:t>
      </w:r>
      <w:r w:rsidRPr="005C1B1A">
        <w:rPr>
          <w:rFonts w:ascii="Myriad Pro" w:hAnsi="Myriad Pro"/>
          <w:lang w:val="es-ES_tradnl"/>
        </w:rPr>
        <w:t xml:space="preserve"> y solicitudes bajo FOIA de expedientes de casos de inmigración [Expedientes A]) (diciembre de 2022)</w:t>
      </w:r>
      <w:r w:rsidR="002B7C50" w:rsidRPr="005C1B1A">
        <w:rPr>
          <w:rFonts w:ascii="Myriad Pro" w:hAnsi="Myriad Pro"/>
          <w:lang w:val="es-ES_tradnl"/>
        </w:rPr>
        <w:t xml:space="preserve">, </w:t>
      </w:r>
      <w:hyperlink r:id="rId15" w:history="1">
        <w:r w:rsidR="002B7C50" w:rsidRPr="005C1B1A">
          <w:rPr>
            <w:rStyle w:val="Hyperlink"/>
            <w:rFonts w:ascii="Myriad Pro" w:hAnsi="Myriad Pro"/>
            <w:lang w:val="es-ES_tradnl"/>
          </w:rPr>
          <w:t>https://www.americanimmigrationcouncil.org/practice-advisory/nightingale-v-uscis-and-foia-requests-immigration-case-files-files/</w:t>
        </w:r>
      </w:hyperlink>
    </w:p>
    <w:p w14:paraId="729934EC" w14:textId="22700713" w:rsidR="00296956" w:rsidRPr="005C1B1A" w:rsidRDefault="005C1B1A" w:rsidP="00D71FA8">
      <w:pPr>
        <w:widowControl w:val="0"/>
        <w:spacing w:after="240"/>
        <w:rPr>
          <w:rFonts w:ascii="Myriad Pro" w:hAnsi="Myriad Pro"/>
          <w:lang w:val="es-ES_tradnl"/>
        </w:rPr>
      </w:pPr>
      <w:r w:rsidRPr="005C1B1A">
        <w:rPr>
          <w:rFonts w:ascii="Myriad Pro" w:hAnsi="Myriad Pro"/>
          <w:lang w:val="es-ES_tradnl"/>
        </w:rPr>
        <w:t>Immigrant Legal Resource Center, A Step-by-Step Guide to Completing FOIA Requests With DHS (Guía paso a paso para completar solicitudes bajo FOIA ante el DHS) (diciembre de 2021),</w:t>
      </w:r>
      <w:r w:rsidR="002B7C50" w:rsidRPr="005C1B1A">
        <w:rPr>
          <w:rFonts w:ascii="Myriad Pro" w:hAnsi="Myriad Pro"/>
          <w:lang w:val="es-ES_tradnl"/>
        </w:rPr>
        <w:t xml:space="preserve"> </w:t>
      </w:r>
      <w:hyperlink r:id="rId16" w:history="1">
        <w:r w:rsidR="002B7C50" w:rsidRPr="005C1B1A">
          <w:rPr>
            <w:rStyle w:val="Hyperlink"/>
            <w:rFonts w:ascii="Myriad Pro" w:hAnsi="Myriad Pro"/>
            <w:lang w:val="es-ES_tradnl"/>
          </w:rPr>
          <w:t>https://www.ilrc.org/sites/default/files/resources/new_foia_dhs_practice_advisory_-_2021_0.pdf</w:t>
        </w:r>
      </w:hyperlink>
    </w:p>
    <w:p w14:paraId="0C43FA3E" w14:textId="7DAC5570" w:rsidR="00296956" w:rsidRPr="005C1B1A" w:rsidRDefault="005C1B1A" w:rsidP="00D71FA8">
      <w:pPr>
        <w:widowControl w:val="0"/>
        <w:spacing w:after="240"/>
        <w:rPr>
          <w:rFonts w:ascii="Myriad Pro" w:hAnsi="Myriad Pro"/>
          <w:lang w:val="es-ES_tradnl"/>
        </w:rPr>
      </w:pPr>
      <w:r w:rsidRPr="005C1B1A">
        <w:rPr>
          <w:rFonts w:ascii="Myriad Pro" w:hAnsi="Myriad Pro"/>
          <w:lang w:val="es-ES_tradnl"/>
        </w:rPr>
        <w:t>Theresa Cheng et al., Advocating On Behalf of Patients in Immigration Custody: A Resource for Health Care Providers and Medical Staff (Defensa de los pacientes bajo custodia de inmigración: Un recurso para proveedores de atención médica y personal médico) (junio de 2026)</w:t>
      </w:r>
      <w:r w:rsidR="00296956" w:rsidRPr="005C1B1A">
        <w:rPr>
          <w:rFonts w:ascii="Myriad Pro" w:hAnsi="Myriad Pro"/>
          <w:lang w:val="es-ES_tradnl"/>
        </w:rPr>
        <w:t xml:space="preserve">, </w:t>
      </w:r>
      <w:hyperlink r:id="rId17" w:history="1">
        <w:r w:rsidR="00296956" w:rsidRPr="005C1B1A">
          <w:rPr>
            <w:rStyle w:val="Hyperlink"/>
            <w:rFonts w:ascii="Myriad Pro" w:hAnsi="Myriad Pro"/>
            <w:lang w:val="es-ES_tradnl"/>
          </w:rPr>
          <w:t>https://www.nilc.org/resources/advocating-on-behalf-of-patients-in-ice-custody-a-resource-for-healthcare-providers/</w:t>
        </w:r>
      </w:hyperlink>
    </w:p>
    <w:p w14:paraId="7C852686" w14:textId="3D5021DD" w:rsidR="008275BE" w:rsidRPr="005C1B1A" w:rsidRDefault="005C1B1A" w:rsidP="00D71FA8">
      <w:pPr>
        <w:widowControl w:val="0"/>
        <w:spacing w:after="240"/>
        <w:rPr>
          <w:rFonts w:ascii="Myriad Pro" w:hAnsi="Myriad Pro"/>
          <w:lang w:val="es-ES_tradnl"/>
        </w:rPr>
      </w:pPr>
      <w:r w:rsidRPr="005C1B1A">
        <w:rPr>
          <w:rFonts w:ascii="Myriad Pro" w:hAnsi="Myriad Pro"/>
          <w:lang w:val="es-ES_tradnl"/>
        </w:rPr>
        <w:t>Catholic Legal Immigration Network (CLINIC), Representing Noncitizens with Mental Illness (Representación de ciudadanos extranjeros con enfermedades mentales) (mayo de 2020)</w:t>
      </w:r>
      <w:r w:rsidR="002B7C50" w:rsidRPr="005C1B1A">
        <w:rPr>
          <w:rFonts w:ascii="Myriad Pro" w:hAnsi="Myriad Pro"/>
          <w:lang w:val="es-ES_tradnl"/>
        </w:rPr>
        <w:t xml:space="preserve">, </w:t>
      </w:r>
      <w:hyperlink r:id="rId18" w:history="1">
        <w:r w:rsidR="002B7C50" w:rsidRPr="005C1B1A">
          <w:rPr>
            <w:rStyle w:val="Hyperlink"/>
            <w:rFonts w:ascii="Myriad Pro" w:hAnsi="Myriad Pro"/>
            <w:lang w:val="es-ES_tradnl"/>
          </w:rPr>
          <w:t>https://www.cliniclegal.org/file-download/download/public/3756</w:t>
        </w:r>
      </w:hyperlink>
    </w:p>
    <w:p w14:paraId="01C2FDDE" w14:textId="2788F4CD" w:rsidR="00A11452" w:rsidRPr="005C1B1A" w:rsidRDefault="005C1B1A" w:rsidP="00425BDA">
      <w:pPr>
        <w:pStyle w:val="Heading1"/>
        <w:rPr>
          <w:lang w:val="es-ES_tradnl"/>
        </w:rPr>
      </w:pPr>
      <w:r w:rsidRPr="005C1B1A">
        <w:rPr>
          <w:lang w:val="es-ES_tradnl"/>
        </w:rPr>
        <w:t>Agradecimientos</w:t>
      </w:r>
    </w:p>
    <w:p w14:paraId="6CEE2D33" w14:textId="2FD50527" w:rsidR="008275BE" w:rsidRPr="005C1B1A" w:rsidRDefault="005C1B1A" w:rsidP="00D71FA8">
      <w:pPr>
        <w:widowControl w:val="0"/>
        <w:spacing w:after="240"/>
        <w:rPr>
          <w:rFonts w:ascii="Myriad Pro" w:hAnsi="Myriad Pro"/>
          <w:lang w:val="es-ES_tradnl"/>
        </w:rPr>
      </w:pPr>
      <w:r w:rsidRPr="005C1B1A">
        <w:rPr>
          <w:rFonts w:ascii="Myriad Pro" w:hAnsi="Myriad Pro"/>
          <w:lang w:val="es-ES_tradnl"/>
        </w:rPr>
        <w:t>La DREDF expresa su agradecimiento a Ariel Brown, del Immigrant Legal Resource Center, y a Jennifer Whitlock, del National Immigration Law Center, por el tiempo dedicado.</w:t>
      </w:r>
    </w:p>
    <w:sectPr w:rsidR="008275BE" w:rsidRPr="005C1B1A" w:rsidSect="00F30383">
      <w:pgSz w:w="12240" w:h="15840"/>
      <w:pgMar w:top="1440" w:right="1440" w:bottom="1440" w:left="1440" w:header="576" w:footer="57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54A14A8" w14:textId="77777777" w:rsidR="00F419C6" w:rsidRDefault="00F419C6">
      <w:r>
        <w:separator/>
      </w:r>
    </w:p>
  </w:endnote>
  <w:endnote w:type="continuationSeparator" w:id="0">
    <w:p w14:paraId="7C71F0FD" w14:textId="77777777" w:rsidR="00F419C6" w:rsidRDefault="00F419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Myriad Pro">
    <w:panose1 w:val="020B0503030403020204"/>
    <w:charset w:val="00"/>
    <w:family w:val="swiss"/>
    <w:notTrueType/>
    <w:pitch w:val="variable"/>
    <w:sig w:usb0="A00002AF" w:usb1="5000204B"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972327F" w14:textId="4061291E" w:rsidR="008A6CA6" w:rsidRPr="00DD4F6D" w:rsidRDefault="00FB1E07" w:rsidP="008A6CA6">
    <w:pPr>
      <w:pStyle w:val="Footer"/>
      <w:jc w:val="center"/>
      <w:rPr>
        <w:rFonts w:ascii="Myriad Pro" w:hAnsi="Myriad Pro"/>
        <w:sz w:val="24"/>
        <w:szCs w:val="24"/>
      </w:rPr>
    </w:pPr>
    <w:r>
      <w:rPr>
        <w:rFonts w:ascii="Myriad Pro" w:hAnsi="Myriad Pro"/>
        <w:sz w:val="24"/>
        <w:szCs w:val="24"/>
      </w:rPr>
      <w:t>Página</w:t>
    </w:r>
    <w:r w:rsidR="008A6CA6" w:rsidRPr="00DD4F6D">
      <w:rPr>
        <w:rFonts w:ascii="Myriad Pro" w:hAnsi="Myriad Pro"/>
        <w:sz w:val="24"/>
        <w:szCs w:val="24"/>
      </w:rPr>
      <w:t xml:space="preserve"> </w:t>
    </w:r>
    <w:r w:rsidR="008A6CA6" w:rsidRPr="00DD4F6D">
      <w:rPr>
        <w:rStyle w:val="PageNumber"/>
        <w:rFonts w:ascii="Myriad Pro" w:hAnsi="Myriad Pro"/>
        <w:sz w:val="24"/>
        <w:szCs w:val="24"/>
      </w:rPr>
      <w:fldChar w:fldCharType="begin"/>
    </w:r>
    <w:r w:rsidR="008A6CA6" w:rsidRPr="00DD4F6D">
      <w:rPr>
        <w:rStyle w:val="PageNumber"/>
        <w:rFonts w:ascii="Myriad Pro" w:hAnsi="Myriad Pro"/>
        <w:sz w:val="24"/>
        <w:szCs w:val="24"/>
      </w:rPr>
      <w:instrText xml:space="preserve"> PAGE </w:instrText>
    </w:r>
    <w:r w:rsidR="008A6CA6" w:rsidRPr="00DD4F6D">
      <w:rPr>
        <w:rStyle w:val="PageNumber"/>
        <w:rFonts w:ascii="Myriad Pro" w:hAnsi="Myriad Pro"/>
        <w:sz w:val="24"/>
        <w:szCs w:val="24"/>
      </w:rPr>
      <w:fldChar w:fldCharType="separate"/>
    </w:r>
    <w:r w:rsidR="008A6CA6" w:rsidRPr="00DD4F6D">
      <w:rPr>
        <w:rStyle w:val="PageNumber"/>
        <w:rFonts w:ascii="Myriad Pro" w:hAnsi="Myriad Pro"/>
        <w:noProof/>
        <w:sz w:val="24"/>
        <w:szCs w:val="24"/>
      </w:rPr>
      <w:t>2</w:t>
    </w:r>
    <w:r w:rsidR="008A6CA6" w:rsidRPr="00DD4F6D">
      <w:rPr>
        <w:rStyle w:val="PageNumber"/>
        <w:rFonts w:ascii="Myriad Pro" w:hAnsi="Myriad Pro"/>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725168C" w14:textId="77777777" w:rsidR="00F419C6" w:rsidRDefault="00F419C6">
      <w:r>
        <w:separator/>
      </w:r>
    </w:p>
  </w:footnote>
  <w:footnote w:type="continuationSeparator" w:id="0">
    <w:p w14:paraId="5F0A3F74" w14:textId="77777777" w:rsidR="00F419C6" w:rsidRDefault="00F419C6">
      <w:r>
        <w:continuationSeparator/>
      </w:r>
    </w:p>
  </w:footnote>
  <w:footnote w:id="1">
    <w:p w14:paraId="0AF489B7" w14:textId="5A7F3B6B" w:rsidR="00FE7CFE" w:rsidRPr="00F9785E" w:rsidRDefault="00FE7CFE" w:rsidP="00DD4F6D">
      <w:pPr>
        <w:pStyle w:val="FootnoteText"/>
        <w:spacing w:after="80"/>
        <w:rPr>
          <w:rFonts w:ascii="Myriad Pro" w:hAnsi="Myriad Pro"/>
          <w:lang w:val="es-ES_tradnl"/>
        </w:rPr>
      </w:pPr>
      <w:r w:rsidRPr="00F9785E">
        <w:rPr>
          <w:rStyle w:val="FootnoteReference"/>
          <w:rFonts w:ascii="Myriad Pro" w:hAnsi="Myriad Pro"/>
          <w:lang w:val="es-ES_tradnl"/>
        </w:rPr>
        <w:footnoteRef/>
      </w:r>
      <w:r w:rsidRPr="00F9785E">
        <w:rPr>
          <w:rFonts w:ascii="Myriad Pro" w:hAnsi="Myriad Pro"/>
          <w:lang w:val="es-ES_tradnl"/>
        </w:rPr>
        <w:t xml:space="preserve"> </w:t>
      </w:r>
      <w:r w:rsidR="00BC791E" w:rsidRPr="00F9785E">
        <w:rPr>
          <w:rFonts w:ascii="Myriad Pro" w:hAnsi="Myriad Pro"/>
          <w:lang w:val="es-ES_tradnl"/>
        </w:rPr>
        <w:t>Caitlin Patler, et al., The health-related experiences of detained immigrants with and without mental illness (Experiencias relacionadas con la salud de inmigrantes detenidos con y sin enfermedades mentales), 11 J. of Migr. &amp; Health (2025)</w:t>
      </w:r>
      <w:r w:rsidRPr="00F9785E">
        <w:rPr>
          <w:rFonts w:ascii="Myriad Pro" w:hAnsi="Myriad Pro"/>
          <w:lang w:val="es-ES_tradnl"/>
        </w:rPr>
        <w:t xml:space="preserve">, </w:t>
      </w:r>
      <w:hyperlink r:id="rId1" w:history="1">
        <w:r w:rsidRPr="00F9785E">
          <w:rPr>
            <w:rStyle w:val="Hyperlink"/>
            <w:rFonts w:ascii="Myriad Pro" w:hAnsi="Myriad Pro"/>
            <w:lang w:val="es-ES_tradnl"/>
          </w:rPr>
          <w:t>https://www.sciencedirect.com/science/article/pii/S2666623525000017</w:t>
        </w:r>
      </w:hyperlink>
      <w:r w:rsidRPr="00F9785E">
        <w:rPr>
          <w:rFonts w:ascii="Myriad Pro" w:hAnsi="Myriad Pro"/>
          <w:lang w:val="es-ES_tradnl"/>
        </w:rPr>
        <w:t xml:space="preserve">; </w:t>
      </w:r>
      <w:r w:rsidR="002D0069" w:rsidRPr="00F9785E">
        <w:rPr>
          <w:rFonts w:ascii="Myriad Pro" w:hAnsi="Myriad Pro"/>
          <w:lang w:val="es-ES_tradnl"/>
        </w:rPr>
        <w:t xml:space="preserve">Disability Rights California, </w:t>
      </w:r>
      <w:r w:rsidR="005C1B1A" w:rsidRPr="00F9785E">
        <w:rPr>
          <w:rFonts w:ascii="Myriad Pro" w:hAnsi="Myriad Pro"/>
          <w:lang w:val="es-ES_tradnl"/>
        </w:rPr>
        <w:t>“</w:t>
      </w:r>
      <w:r w:rsidR="002D0069" w:rsidRPr="00F9785E">
        <w:rPr>
          <w:rFonts w:ascii="Myriad Pro" w:hAnsi="Myriad Pro"/>
          <w:lang w:val="es-ES_tradnl"/>
        </w:rPr>
        <w:t>They Treat Us Like Dogs in Cages</w:t>
      </w:r>
      <w:r w:rsidR="005C1B1A" w:rsidRPr="00F9785E">
        <w:rPr>
          <w:rFonts w:ascii="Myriad Pro" w:hAnsi="Myriad Pro"/>
          <w:lang w:val="es-ES_tradnl"/>
        </w:rPr>
        <w:t>”</w:t>
      </w:r>
      <w:r w:rsidR="002D0069" w:rsidRPr="00F9785E">
        <w:rPr>
          <w:rFonts w:ascii="Myriad Pro" w:hAnsi="Myriad Pro"/>
          <w:lang w:val="es-ES_tradnl"/>
        </w:rPr>
        <w:t xml:space="preserve">: Inside the Adelanto ICE Processing Center </w:t>
      </w:r>
      <w:r w:rsidR="00BC791E" w:rsidRPr="00F9785E">
        <w:rPr>
          <w:rFonts w:ascii="Myriad Pro" w:hAnsi="Myriad Pro"/>
          <w:lang w:val="es-ES_tradnl"/>
        </w:rPr>
        <w:t>(</w:t>
      </w:r>
      <w:r w:rsidR="005C1B1A" w:rsidRPr="00F9785E">
        <w:rPr>
          <w:rFonts w:ascii="Myriad Pro" w:hAnsi="Myriad Pro"/>
          <w:lang w:val="es-ES_tradnl"/>
        </w:rPr>
        <w:t>“</w:t>
      </w:r>
      <w:r w:rsidR="00BC791E" w:rsidRPr="00F9785E">
        <w:rPr>
          <w:rFonts w:ascii="Myriad Pro" w:hAnsi="Myriad Pro"/>
          <w:lang w:val="es-ES_tradnl"/>
        </w:rPr>
        <w:t>Nos tratan como a perros en jaulas</w:t>
      </w:r>
      <w:r w:rsidR="005C1B1A" w:rsidRPr="00F9785E">
        <w:rPr>
          <w:rFonts w:ascii="Myriad Pro" w:hAnsi="Myriad Pro"/>
          <w:lang w:val="es-ES_tradnl"/>
        </w:rPr>
        <w:t>”</w:t>
      </w:r>
      <w:r w:rsidR="00BC791E" w:rsidRPr="00F9785E">
        <w:rPr>
          <w:rFonts w:ascii="Myriad Pro" w:hAnsi="Myriad Pro"/>
          <w:lang w:val="es-ES_tradnl"/>
        </w:rPr>
        <w:t>: Dentro del Centro de Procesamiento de ICE de Adelanto) (julio de 2025)</w:t>
      </w:r>
      <w:r w:rsidR="002D0069" w:rsidRPr="00F9785E">
        <w:rPr>
          <w:rFonts w:ascii="Myriad Pro" w:hAnsi="Myriad Pro"/>
          <w:lang w:val="es-ES_tradnl"/>
        </w:rPr>
        <w:t xml:space="preserve">, </w:t>
      </w:r>
      <w:hyperlink r:id="rId2" w:history="1">
        <w:r w:rsidR="002D0069" w:rsidRPr="00F9785E">
          <w:rPr>
            <w:rStyle w:val="Hyperlink"/>
            <w:rFonts w:ascii="Myriad Pro" w:hAnsi="Myriad Pro"/>
            <w:lang w:val="es-ES_tradnl"/>
          </w:rPr>
          <w:t>https://www.disabilityrightsca.org/drc-advocacy/investigations/inside-the-adelanto-ice-processing-center</w:t>
        </w:r>
      </w:hyperlink>
      <w:r w:rsidR="002D0069" w:rsidRPr="00F9785E">
        <w:rPr>
          <w:rFonts w:ascii="Myriad Pro" w:hAnsi="Myriad Pro"/>
          <w:lang w:val="es-ES_tradnl"/>
        </w:rPr>
        <w:t xml:space="preserve">; </w:t>
      </w:r>
      <w:r w:rsidR="00BC791E" w:rsidRPr="00F9785E">
        <w:rPr>
          <w:rFonts w:ascii="Myriad Pro" w:hAnsi="Myriad Pro"/>
          <w:lang w:val="es-ES_tradnl"/>
        </w:rPr>
        <w:t>Irina Verhülsdonk, et al., Prevalence of psychiatric disorders among refugees and migrants in immigration detention: systematic review with meta-analysis (Prevalencia de trastornos psiquiátricos entre refugiados y migrantes en detención de inmigrantes: revisión sistemática con metanálisis), 7 BJPsych Open. (noviembre de 2021)</w:t>
      </w:r>
      <w:r w:rsidRPr="00F9785E">
        <w:rPr>
          <w:rFonts w:ascii="Myriad Pro" w:hAnsi="Myriad Pro"/>
          <w:lang w:val="es-ES_tradnl"/>
        </w:rPr>
        <w:t xml:space="preserve">; </w:t>
      </w:r>
      <w:r w:rsidR="002D0069" w:rsidRPr="00F9785E">
        <w:rPr>
          <w:rFonts w:ascii="Myriad Pro" w:hAnsi="Myriad Pro"/>
          <w:lang w:val="es-ES_tradnl"/>
        </w:rPr>
        <w:t xml:space="preserve">Human Rights First, Representing Asylum Seekers with Disabilities: Relevant Law </w:t>
      </w:r>
      <w:r w:rsidR="00BC791E" w:rsidRPr="00F9785E">
        <w:rPr>
          <w:rFonts w:ascii="Myriad Pro" w:hAnsi="Myriad Pro"/>
          <w:lang w:val="es-ES_tradnl"/>
        </w:rPr>
        <w:t>(Representación de solicitantes de asilo con discapacidades: legislación pertinente) (septiembre de 2023)</w:t>
      </w:r>
      <w:r w:rsidR="002D0069" w:rsidRPr="00F9785E">
        <w:rPr>
          <w:rFonts w:ascii="Myriad Pro" w:hAnsi="Myriad Pro"/>
          <w:lang w:val="es-ES_tradnl"/>
        </w:rPr>
        <w:t xml:space="preserve">, </w:t>
      </w:r>
      <w:hyperlink r:id="rId3" w:history="1">
        <w:r w:rsidR="002D0069" w:rsidRPr="00F9785E">
          <w:rPr>
            <w:rStyle w:val="Hyperlink"/>
            <w:rFonts w:ascii="Myriad Pro" w:hAnsi="Myriad Pro"/>
            <w:lang w:val="es-ES_tradnl"/>
          </w:rPr>
          <w:t>https://humanrightsfirst.org/library/representing-asylum-seekers-with-disabilities-relevant-law/</w:t>
        </w:r>
      </w:hyperlink>
      <w:r w:rsidR="002D0069" w:rsidRPr="00F9785E">
        <w:rPr>
          <w:rFonts w:ascii="Myriad Pro" w:hAnsi="Myriad Pro"/>
          <w:lang w:val="es-ES_tradnl"/>
        </w:rPr>
        <w:t xml:space="preserve">; </w:t>
      </w:r>
      <w:r w:rsidRPr="00F9785E">
        <w:rPr>
          <w:rFonts w:ascii="Myriad Pro" w:hAnsi="Myriad Pro"/>
          <w:lang w:val="es-ES_tradnl"/>
        </w:rPr>
        <w:t xml:space="preserve">Adam England, Immigration Trauma: What It Is and How to Cope </w:t>
      </w:r>
      <w:r w:rsidR="00BC791E" w:rsidRPr="00F9785E">
        <w:rPr>
          <w:rFonts w:ascii="Myriad Pro" w:hAnsi="Myriad Pro"/>
          <w:lang w:val="es-ES_tradnl"/>
        </w:rPr>
        <w:t>(El trauma de la inmigración: qué es y cómo afrontarlo) (enero de 2026)</w:t>
      </w:r>
      <w:r w:rsidRPr="00F9785E">
        <w:rPr>
          <w:rFonts w:ascii="Myriad Pro" w:hAnsi="Myriad Pro"/>
          <w:lang w:val="es-ES_tradnl"/>
        </w:rPr>
        <w:t xml:space="preserve">, </w:t>
      </w:r>
      <w:hyperlink r:id="rId4" w:history="1">
        <w:r w:rsidRPr="00F9785E">
          <w:rPr>
            <w:rStyle w:val="Hyperlink"/>
            <w:rFonts w:ascii="Myriad Pro" w:hAnsi="Myriad Pro"/>
            <w:lang w:val="es-ES_tradnl"/>
          </w:rPr>
          <w:t>https://www.verywellmind.com/immigration-trauma-6745707</w:t>
        </w:r>
      </w:hyperlink>
      <w:r w:rsidR="002D0069" w:rsidRPr="00F9785E">
        <w:rPr>
          <w:rFonts w:ascii="Myriad Pro" w:hAnsi="Myriad Pro"/>
          <w:lang w:val="es-ES_tradnl"/>
        </w:rPr>
        <w:t xml:space="preserve">. </w:t>
      </w:r>
    </w:p>
  </w:footnote>
  <w:footnote w:id="2">
    <w:p w14:paraId="3EAB2996" w14:textId="52A2EC0D" w:rsidR="00AD791D" w:rsidRPr="00F9785E" w:rsidRDefault="00AD791D" w:rsidP="00DD4F6D">
      <w:pPr>
        <w:pStyle w:val="FootnoteText"/>
        <w:spacing w:after="80"/>
        <w:rPr>
          <w:rFonts w:ascii="Myriad Pro" w:hAnsi="Myriad Pro"/>
          <w:lang w:val="es-ES_tradnl"/>
        </w:rPr>
      </w:pPr>
      <w:r w:rsidRPr="00F9785E">
        <w:rPr>
          <w:rStyle w:val="FootnoteReference"/>
          <w:rFonts w:ascii="Myriad Pro" w:hAnsi="Myriad Pro"/>
          <w:lang w:val="es-ES_tradnl"/>
        </w:rPr>
        <w:footnoteRef/>
      </w:r>
      <w:r w:rsidRPr="00F9785E">
        <w:rPr>
          <w:rFonts w:ascii="Myriad Pro" w:hAnsi="Myriad Pro"/>
          <w:lang w:val="es-ES_tradnl"/>
        </w:rPr>
        <w:t xml:space="preserve"> </w:t>
      </w:r>
      <w:r w:rsidR="00DA34F2" w:rsidRPr="00F9785E">
        <w:rPr>
          <w:rFonts w:ascii="Myriad Pro" w:hAnsi="Myriad Pro"/>
          <w:lang w:val="es-ES_tradnl"/>
        </w:rPr>
        <w:t xml:space="preserve">Los reglamentos de la Sección 504 del DHS y del DOJ (al igual que los reglamentos de la Sección 504 de otras agencias) prohíben la discriminación contra las personas con discapacidad </w:t>
      </w:r>
      <w:r w:rsidR="005C1B1A" w:rsidRPr="00F9785E">
        <w:rPr>
          <w:rFonts w:ascii="Myriad Pro" w:hAnsi="Myriad Pro"/>
          <w:lang w:val="es-ES_tradnl"/>
        </w:rPr>
        <w:t>“</w:t>
      </w:r>
      <w:r w:rsidR="00DA34F2" w:rsidRPr="00F9785E">
        <w:rPr>
          <w:rFonts w:ascii="Myriad Pro" w:hAnsi="Myriad Pro"/>
          <w:lang w:val="es-ES_tradnl"/>
        </w:rPr>
        <w:t>por motivos de su discapacidad</w:t>
      </w:r>
      <w:r w:rsidR="005C1B1A" w:rsidRPr="00F9785E">
        <w:rPr>
          <w:rFonts w:ascii="Myriad Pro" w:hAnsi="Myriad Pro"/>
          <w:lang w:val="es-ES_tradnl"/>
        </w:rPr>
        <w:t>”</w:t>
      </w:r>
      <w:r w:rsidR="00DA34F2" w:rsidRPr="00F9785E">
        <w:rPr>
          <w:rFonts w:ascii="Myriad Pro" w:hAnsi="Myriad Pro"/>
          <w:lang w:val="es-ES_tradnl"/>
        </w:rPr>
        <w:t xml:space="preserve">, 6 C.F.R. § 15.30(a), y no incluyen el término </w:t>
      </w:r>
      <w:r w:rsidR="005C1B1A" w:rsidRPr="00F9785E">
        <w:rPr>
          <w:rFonts w:ascii="Myriad Pro" w:hAnsi="Myriad Pro"/>
          <w:lang w:val="es-ES_tradnl"/>
        </w:rPr>
        <w:t>“</w:t>
      </w:r>
      <w:r w:rsidR="00DA34F2" w:rsidRPr="00F9785E">
        <w:rPr>
          <w:rFonts w:ascii="Myriad Pro" w:hAnsi="Myriad Pro"/>
          <w:lang w:val="es-ES_tradnl"/>
        </w:rPr>
        <w:t>únicamente por motivos de su discapacidad</w:t>
      </w:r>
      <w:r w:rsidR="005C1B1A" w:rsidRPr="00F9785E">
        <w:rPr>
          <w:rFonts w:ascii="Myriad Pro" w:hAnsi="Myriad Pro"/>
          <w:lang w:val="es-ES_tradnl"/>
        </w:rPr>
        <w:t>”</w:t>
      </w:r>
      <w:r w:rsidR="00DA34F2" w:rsidRPr="00F9785E">
        <w:rPr>
          <w:rFonts w:ascii="Myriad Pro" w:hAnsi="Myriad Pro"/>
          <w:lang w:val="es-ES_tradnl"/>
        </w:rPr>
        <w:t xml:space="preserve"> que aparece en la Sección 504. </w:t>
      </w:r>
      <w:r w:rsidR="00DA34F2" w:rsidRPr="00F9785E">
        <w:rPr>
          <w:rFonts w:ascii="Myriad Pro" w:hAnsi="Myriad Pro"/>
          <w:i/>
          <w:iCs/>
          <w:lang w:val="es-ES_tradnl"/>
        </w:rPr>
        <w:t>Véase</w:t>
      </w:r>
      <w:r w:rsidR="00DA34F2" w:rsidRPr="00F9785E">
        <w:rPr>
          <w:rFonts w:ascii="Myriad Pro" w:hAnsi="Myriad Pro"/>
          <w:lang w:val="es-ES_tradnl"/>
        </w:rPr>
        <w:t xml:space="preserve"> Departamento de Seguridad Nacional de los EE. UU.: Oficina para los Derechos Civiles y las Libertades Civiles, Guía 065-01-001-01, Component Self-Evaluation and Planning Reference Guide (Guía de referencia para la autoevaluación y planificación de componentes), página 3 nota 1</w:t>
      </w:r>
      <w:r w:rsidRPr="00F9785E">
        <w:rPr>
          <w:rFonts w:ascii="Myriad Pro" w:hAnsi="Myriad Pro"/>
          <w:lang w:val="es-ES_tradnl"/>
        </w:rPr>
        <w:t xml:space="preserve">, </w:t>
      </w:r>
      <w:hyperlink r:id="rId5" w:history="1">
        <w:r w:rsidRPr="00F9785E">
          <w:rPr>
            <w:rStyle w:val="Hyperlink"/>
            <w:rFonts w:ascii="Myriad Pro" w:hAnsi="Myriad Pro"/>
            <w:lang w:val="es-ES_tradnl"/>
          </w:rPr>
          <w:t>https://www.dhs.gov/sites/default/files/publications/disability-guide-component-self-evaluation.pdf</w:t>
        </w:r>
      </w:hyperlink>
      <w:r w:rsidRPr="00F9785E">
        <w:rPr>
          <w:rFonts w:ascii="Myriad Pro" w:hAnsi="Myriad Pro"/>
          <w:lang w:val="es-ES_tradnl"/>
        </w:rPr>
        <w:t xml:space="preserve">. </w:t>
      </w:r>
    </w:p>
  </w:footnote>
  <w:footnote w:id="3">
    <w:p w14:paraId="0483550B" w14:textId="0C1CFFCD" w:rsidR="007970D7" w:rsidRPr="00F9785E" w:rsidRDefault="007970D7" w:rsidP="00DD4F6D">
      <w:pPr>
        <w:pStyle w:val="FootnoteText"/>
        <w:spacing w:after="80"/>
        <w:rPr>
          <w:rFonts w:ascii="Myriad Pro" w:hAnsi="Myriad Pro"/>
          <w:lang w:val="es-ES_tradnl"/>
        </w:rPr>
      </w:pPr>
      <w:r w:rsidRPr="00F9785E">
        <w:rPr>
          <w:rStyle w:val="FootnoteReference"/>
          <w:rFonts w:ascii="Myriad Pro" w:hAnsi="Myriad Pro"/>
          <w:lang w:val="es-ES_tradnl"/>
        </w:rPr>
        <w:footnoteRef/>
      </w:r>
      <w:r w:rsidRPr="00F9785E">
        <w:rPr>
          <w:rFonts w:ascii="Myriad Pro" w:hAnsi="Myriad Pro"/>
          <w:lang w:val="es-ES_tradnl"/>
        </w:rPr>
        <w:t xml:space="preserve"> </w:t>
      </w:r>
      <w:r w:rsidR="00DA34F2" w:rsidRPr="00F9785E">
        <w:rPr>
          <w:rFonts w:ascii="Myriad Pro" w:hAnsi="Myriad Pro"/>
          <w:lang w:val="es-ES_tradnl"/>
        </w:rPr>
        <w:t>Existen diferencias en las leyes que se aplican a los centros de detención gubernamentales y a los privados.</w:t>
      </w:r>
      <w:r w:rsidRPr="00F9785E">
        <w:rPr>
          <w:rFonts w:ascii="Myriad Pro" w:hAnsi="Myriad Pro"/>
          <w:lang w:val="es-ES_tradnl"/>
        </w:rPr>
        <w:t xml:space="preserve"> </w:t>
      </w:r>
    </w:p>
  </w:footnote>
  <w:footnote w:id="4">
    <w:p w14:paraId="49C56C68" w14:textId="1BABD739" w:rsidR="001D7315" w:rsidRPr="00F9785E" w:rsidRDefault="001D7315" w:rsidP="00DD4F6D">
      <w:pPr>
        <w:pStyle w:val="FootnoteText"/>
        <w:spacing w:after="80"/>
        <w:rPr>
          <w:rFonts w:ascii="Myriad Pro" w:hAnsi="Myriad Pro"/>
          <w:lang w:val="es-ES_tradnl"/>
        </w:rPr>
      </w:pPr>
      <w:r w:rsidRPr="00F9785E">
        <w:rPr>
          <w:rStyle w:val="FootnoteReference"/>
          <w:rFonts w:ascii="Myriad Pro" w:hAnsi="Myriad Pro"/>
          <w:lang w:val="es-ES_tradnl"/>
        </w:rPr>
        <w:footnoteRef/>
      </w:r>
      <w:r w:rsidRPr="00F9785E">
        <w:rPr>
          <w:rFonts w:ascii="Myriad Pro" w:hAnsi="Myriad Pro"/>
          <w:lang w:val="es-ES_tradnl"/>
        </w:rPr>
        <w:t xml:space="preserve"> </w:t>
      </w:r>
      <w:r w:rsidR="00F20D47" w:rsidRPr="00F9785E">
        <w:rPr>
          <w:rFonts w:ascii="Myriad Pro" w:hAnsi="Myriad Pro"/>
          <w:i/>
          <w:iCs/>
          <w:lang w:val="es-ES_tradnl"/>
        </w:rPr>
        <w:t xml:space="preserve">Véase </w:t>
      </w:r>
      <w:r w:rsidR="00F20D47" w:rsidRPr="00F9785E">
        <w:rPr>
          <w:rFonts w:ascii="Myriad Pro" w:hAnsi="Myriad Pro"/>
          <w:lang w:val="es-ES_tradnl"/>
        </w:rPr>
        <w:t>Nondiscrimination for Individuals with Disabilities In DHS-Conducted Programs and Activities (Non-Employment) (No discriminación para personas con discapacidades en programas y actividades llevadas a cabo por el DHS [no relacionados con el empleo]) (25 de sept. de 2013)</w:t>
      </w:r>
      <w:r w:rsidRPr="00F9785E">
        <w:rPr>
          <w:rFonts w:ascii="Myriad Pro" w:hAnsi="Myriad Pro"/>
          <w:lang w:val="es-ES_tradnl"/>
        </w:rPr>
        <w:t xml:space="preserve"> </w:t>
      </w:r>
      <w:hyperlink r:id="rId6" w:history="1">
        <w:r w:rsidRPr="00F9785E">
          <w:rPr>
            <w:rStyle w:val="Hyperlink"/>
            <w:rFonts w:ascii="Myriad Pro" w:hAnsi="Myriad Pro"/>
            <w:lang w:val="es-ES_tradnl"/>
          </w:rPr>
          <w:t>https://www.dhs.gov/sites/default/files/publications/dhs-management-directive-disability-access_0_0.pdf</w:t>
        </w:r>
      </w:hyperlink>
      <w:r w:rsidRPr="00F9785E">
        <w:rPr>
          <w:rFonts w:ascii="Myriad Pro" w:hAnsi="Myriad Pro"/>
          <w:lang w:val="es-ES_tradnl"/>
        </w:rPr>
        <w:t xml:space="preserve"> </w:t>
      </w:r>
      <w:r w:rsidR="00F20D47" w:rsidRPr="00F9785E">
        <w:rPr>
          <w:rFonts w:ascii="Myriad Pro" w:hAnsi="Myriad Pro"/>
          <w:lang w:val="es-ES_tradnl"/>
        </w:rPr>
        <w:t>(donde se describe la política de no discriminación del DHS para personas con discapacidades y se enumeran compromisos afirmativos similares); Instruction on Nondiscrimination for Individuals with Disabilities in DHS-Conducted Programs and Activities (Non-employment) (Instrucción sobre la no discriminación para personas con discapacidades en programas y actividades llevadas a cabo por el DHS [no relacionados con el empleo]) (13 de marzo de 2015)</w:t>
      </w:r>
      <w:r w:rsidRPr="00F9785E">
        <w:rPr>
          <w:rFonts w:ascii="Myriad Pro" w:hAnsi="Myriad Pro"/>
          <w:lang w:val="es-ES_tradnl"/>
        </w:rPr>
        <w:t xml:space="preserve">, </w:t>
      </w:r>
      <w:hyperlink r:id="rId7" w:history="1">
        <w:r w:rsidRPr="00F9785E">
          <w:rPr>
            <w:rStyle w:val="Hyperlink"/>
            <w:rFonts w:ascii="Myriad Pro" w:hAnsi="Myriad Pro"/>
            <w:lang w:val="es-ES_tradnl"/>
          </w:rPr>
          <w:t>https://www.dhs.gov/sites/default/files/publications/dhs-instruction-nondiscrimination-individuals-disabilities_03-07-15.pdf</w:t>
        </w:r>
      </w:hyperlink>
      <w:r w:rsidRPr="00F9785E">
        <w:rPr>
          <w:rFonts w:ascii="Myriad Pro" w:hAnsi="Myriad Pro"/>
          <w:lang w:val="es-ES_tradnl"/>
        </w:rPr>
        <w:t xml:space="preserve"> (</w:t>
      </w:r>
      <w:r w:rsidR="00F20D47" w:rsidRPr="00F9785E">
        <w:rPr>
          <w:rFonts w:ascii="Myriad Pro" w:hAnsi="Myriad Pro"/>
          <w:lang w:val="es-ES_tradnl"/>
        </w:rPr>
        <w:t>donde se brindan instrucciones para la implementación de la política</w:t>
      </w:r>
      <w:r w:rsidRPr="00F9785E">
        <w:rPr>
          <w:rFonts w:ascii="Myriad Pro" w:hAnsi="Myriad Pro"/>
          <w:lang w:val="es-ES_tradnl"/>
        </w:rPr>
        <w:t>).</w:t>
      </w:r>
    </w:p>
  </w:footnote>
  <w:footnote w:id="5">
    <w:p w14:paraId="562F6E43" w14:textId="2A3BE585" w:rsidR="00B46BC5" w:rsidRPr="00F9785E" w:rsidRDefault="00B46BC5" w:rsidP="00DD4F6D">
      <w:pPr>
        <w:pStyle w:val="FootnoteText"/>
        <w:spacing w:after="80"/>
        <w:rPr>
          <w:rFonts w:ascii="Myriad Pro" w:hAnsi="Myriad Pro"/>
          <w:lang w:val="es-ES_tradnl"/>
        </w:rPr>
      </w:pPr>
      <w:r w:rsidRPr="00F9785E">
        <w:rPr>
          <w:rStyle w:val="FootnoteReference"/>
          <w:rFonts w:ascii="Myriad Pro" w:hAnsi="Myriad Pro"/>
          <w:lang w:val="es-ES_tradnl"/>
        </w:rPr>
        <w:footnoteRef/>
      </w:r>
      <w:r w:rsidRPr="00F9785E">
        <w:rPr>
          <w:rFonts w:ascii="Myriad Pro" w:hAnsi="Myriad Pro"/>
          <w:lang w:val="es-ES_tradnl"/>
        </w:rPr>
        <w:t xml:space="preserve"> </w:t>
      </w:r>
      <w:r w:rsidRPr="00F9785E">
        <w:rPr>
          <w:rFonts w:ascii="Myriad Pro" w:hAnsi="Myriad Pro"/>
          <w:i/>
          <w:iCs/>
          <w:szCs w:val="24"/>
          <w:lang w:val="es-ES_tradnl"/>
        </w:rPr>
        <w:t>Alexander v. Choate</w:t>
      </w:r>
      <w:r w:rsidRPr="00F9785E">
        <w:rPr>
          <w:rFonts w:ascii="Myriad Pro" w:hAnsi="Myriad Pro"/>
          <w:szCs w:val="24"/>
          <w:lang w:val="es-ES_tradnl"/>
        </w:rPr>
        <w:t xml:space="preserve">, 469 U.S. 287, 301 (1985); </w:t>
      </w:r>
      <w:r w:rsidRPr="00F9785E">
        <w:rPr>
          <w:rFonts w:ascii="Myriad Pro" w:hAnsi="Myriad Pro"/>
          <w:i/>
          <w:iCs/>
          <w:szCs w:val="24"/>
          <w:lang w:val="es-ES_tradnl"/>
        </w:rPr>
        <w:t>Make the Rd. N.Y. v. Cuccinelli</w:t>
      </w:r>
      <w:r w:rsidRPr="00F9785E">
        <w:rPr>
          <w:rFonts w:ascii="Myriad Pro" w:hAnsi="Myriad Pro"/>
          <w:szCs w:val="24"/>
          <w:lang w:val="es-ES_tradnl"/>
        </w:rPr>
        <w:t xml:space="preserve">, 419 F. Supp. 3d 647, 664 (S.D.N.Y. 2019); </w:t>
      </w:r>
      <w:r w:rsidRPr="00F9785E">
        <w:rPr>
          <w:rFonts w:ascii="Myriad Pro" w:hAnsi="Myriad Pro"/>
          <w:i/>
          <w:iCs/>
          <w:szCs w:val="24"/>
          <w:lang w:val="es-ES_tradnl"/>
        </w:rPr>
        <w:t>New York v. United States Dep</w:t>
      </w:r>
      <w:r w:rsidR="005C1B1A" w:rsidRPr="00F9785E">
        <w:rPr>
          <w:rFonts w:ascii="Myriad Pro" w:hAnsi="Myriad Pro"/>
          <w:i/>
          <w:iCs/>
          <w:szCs w:val="24"/>
          <w:lang w:val="es-ES_tradnl"/>
        </w:rPr>
        <w:t>’</w:t>
      </w:r>
      <w:r w:rsidRPr="00F9785E">
        <w:rPr>
          <w:rFonts w:ascii="Myriad Pro" w:hAnsi="Myriad Pro"/>
          <w:i/>
          <w:iCs/>
          <w:szCs w:val="24"/>
          <w:lang w:val="es-ES_tradnl"/>
        </w:rPr>
        <w:t>t of Homeland Sec</w:t>
      </w:r>
      <w:r w:rsidRPr="00F9785E">
        <w:rPr>
          <w:rFonts w:ascii="Myriad Pro" w:hAnsi="Myriad Pro"/>
          <w:szCs w:val="24"/>
          <w:lang w:val="es-ES_tradnl"/>
        </w:rPr>
        <w:t xml:space="preserve">., 408 F. Supp. 3d 334, 350 (S.D.N.Y. 2019); </w:t>
      </w:r>
      <w:r w:rsidRPr="00F9785E">
        <w:rPr>
          <w:rFonts w:ascii="Myriad Pro" w:hAnsi="Myriad Pro"/>
          <w:i/>
          <w:iCs/>
          <w:szCs w:val="24"/>
          <w:lang w:val="es-ES_tradnl"/>
        </w:rPr>
        <w:t>Avirmed v. United States Dep</w:t>
      </w:r>
      <w:r w:rsidR="005C1B1A" w:rsidRPr="00F9785E">
        <w:rPr>
          <w:rFonts w:ascii="Myriad Pro" w:hAnsi="Myriad Pro"/>
          <w:i/>
          <w:iCs/>
          <w:szCs w:val="24"/>
          <w:lang w:val="es-ES_tradnl"/>
        </w:rPr>
        <w:t>’</w:t>
      </w:r>
      <w:r w:rsidRPr="00F9785E">
        <w:rPr>
          <w:rFonts w:ascii="Myriad Pro" w:hAnsi="Myriad Pro"/>
          <w:i/>
          <w:iCs/>
          <w:szCs w:val="24"/>
          <w:lang w:val="es-ES_tradnl"/>
        </w:rPr>
        <w:t>t of Homeland Sec</w:t>
      </w:r>
      <w:r w:rsidRPr="00F9785E">
        <w:rPr>
          <w:rFonts w:ascii="Myriad Pro" w:hAnsi="Myriad Pro"/>
          <w:szCs w:val="24"/>
          <w:lang w:val="es-ES_tradnl"/>
        </w:rPr>
        <w:t>., No. 25-cv-1310-DMS-DEB, 2025 U.S. Dist. LEXIS 135888, at *15 (</w:t>
      </w:r>
      <w:r w:rsidR="0064490A" w:rsidRPr="00F9785E">
        <w:rPr>
          <w:rFonts w:ascii="Myriad Pro" w:hAnsi="Myriad Pro"/>
          <w:szCs w:val="24"/>
          <w:lang w:val="es-ES_tradnl"/>
        </w:rPr>
        <w:t xml:space="preserve">S.D. Cal. 16 de julio de 2025); </w:t>
      </w:r>
      <w:r w:rsidR="0064490A" w:rsidRPr="00F9785E">
        <w:rPr>
          <w:rFonts w:ascii="Myriad Pro" w:hAnsi="Myriad Pro"/>
          <w:i/>
          <w:iCs/>
          <w:szCs w:val="24"/>
          <w:lang w:val="es-ES_tradnl"/>
        </w:rPr>
        <w:t>véase</w:t>
      </w:r>
      <w:r w:rsidR="0064490A" w:rsidRPr="00F9785E">
        <w:rPr>
          <w:rFonts w:ascii="Myriad Pro" w:hAnsi="Myriad Pro"/>
          <w:szCs w:val="24"/>
          <w:lang w:val="es-ES_tradnl"/>
        </w:rPr>
        <w:t xml:space="preserve"> </w:t>
      </w:r>
      <w:r w:rsidR="0064490A" w:rsidRPr="00F9785E">
        <w:rPr>
          <w:rFonts w:ascii="Myriad Pro" w:hAnsi="Myriad Pro"/>
          <w:i/>
          <w:iCs/>
          <w:szCs w:val="24"/>
          <w:lang w:val="es-ES_tradnl"/>
        </w:rPr>
        <w:t>también</w:t>
      </w:r>
      <w:r w:rsidR="0064490A" w:rsidRPr="00F9785E">
        <w:rPr>
          <w:rFonts w:ascii="Myriad Pro" w:hAnsi="Myriad Pro"/>
          <w:szCs w:val="24"/>
          <w:lang w:val="es-ES_tradnl"/>
        </w:rPr>
        <w:t xml:space="preserve"> 45 C.F.R. § 84.68(b)(7)(i) (</w:t>
      </w:r>
      <w:r w:rsidR="005C1B1A" w:rsidRPr="00F9785E">
        <w:rPr>
          <w:rFonts w:ascii="Myriad Pro" w:hAnsi="Myriad Pro"/>
          <w:szCs w:val="24"/>
          <w:lang w:val="es-ES_tradnl"/>
        </w:rPr>
        <w:t>“</w:t>
      </w:r>
      <w:r w:rsidR="0064490A" w:rsidRPr="00F9785E">
        <w:rPr>
          <w:rFonts w:ascii="Myriad Pro" w:hAnsi="Myriad Pro"/>
          <w:szCs w:val="24"/>
          <w:lang w:val="es-ES_tradnl"/>
        </w:rPr>
        <w:t>El destinatario de fondos debe realizar modificaciones razonables en las políticas, prácticas o procedimientos cuando dichas modificaciones sean necesarias para evitar la discriminación por discapacidad...</w:t>
      </w:r>
      <w:r w:rsidR="005C1B1A" w:rsidRPr="00F9785E">
        <w:rPr>
          <w:rFonts w:ascii="Myriad Pro" w:hAnsi="Myriad Pro"/>
          <w:szCs w:val="24"/>
          <w:lang w:val="es-ES_tradnl"/>
        </w:rPr>
        <w:t>”</w:t>
      </w:r>
      <w:r w:rsidR="0064490A" w:rsidRPr="00F9785E">
        <w:rPr>
          <w:rFonts w:ascii="Myriad Pro" w:hAnsi="Myriad Pro"/>
          <w:szCs w:val="24"/>
          <w:lang w:val="es-ES_tradnl"/>
        </w:rPr>
        <w:t>)</w:t>
      </w:r>
      <w:r w:rsidRPr="00F9785E">
        <w:rPr>
          <w:rFonts w:ascii="Myriad Pro" w:hAnsi="Myriad Pro"/>
          <w:szCs w:val="24"/>
          <w:lang w:val="es-ES_tradnl"/>
        </w:rPr>
        <w:t>.</w:t>
      </w:r>
    </w:p>
  </w:footnote>
  <w:footnote w:id="6">
    <w:p w14:paraId="5C312CF4" w14:textId="7209621D" w:rsidR="005A18C4" w:rsidRPr="00F9785E" w:rsidRDefault="005A18C4" w:rsidP="00DD4F6D">
      <w:pPr>
        <w:pStyle w:val="FootnoteText"/>
        <w:spacing w:after="80"/>
        <w:rPr>
          <w:rFonts w:ascii="Myriad Pro" w:hAnsi="Myriad Pro"/>
          <w:lang w:val="es-ES_tradnl"/>
        </w:rPr>
      </w:pPr>
      <w:r w:rsidRPr="00F9785E">
        <w:rPr>
          <w:rStyle w:val="FootnoteReference"/>
          <w:rFonts w:ascii="Myriad Pro" w:hAnsi="Myriad Pro"/>
          <w:lang w:val="es-ES_tradnl"/>
        </w:rPr>
        <w:footnoteRef/>
      </w:r>
      <w:r w:rsidRPr="00F9785E">
        <w:rPr>
          <w:rFonts w:ascii="Myriad Pro" w:hAnsi="Myriad Pro"/>
          <w:lang w:val="es-ES_tradnl"/>
        </w:rPr>
        <w:t xml:space="preserve"> ICE, National Detention Standards </w:t>
      </w:r>
      <w:r w:rsidR="0064490A" w:rsidRPr="00F9785E">
        <w:rPr>
          <w:rFonts w:ascii="Myriad Pro" w:hAnsi="Myriad Pro"/>
          <w:lang w:val="es-ES_tradnl"/>
        </w:rPr>
        <w:t>(Normas Nacionales de Detención) (rev. 2025)</w:t>
      </w:r>
      <w:r w:rsidRPr="00F9785E">
        <w:rPr>
          <w:rFonts w:ascii="Myriad Pro" w:hAnsi="Myriad Pro"/>
          <w:lang w:val="es-ES_tradnl"/>
        </w:rPr>
        <w:t xml:space="preserve">, </w:t>
      </w:r>
      <w:hyperlink r:id="rId8" w:history="1">
        <w:r w:rsidRPr="00F9785E">
          <w:rPr>
            <w:rStyle w:val="Hyperlink"/>
            <w:rFonts w:ascii="Myriad Pro" w:hAnsi="Myriad Pro"/>
            <w:lang w:val="es-ES_tradnl"/>
          </w:rPr>
          <w:t>https://www.ice.gov/doclib/detention-standards/2025/nds2025.pdf</w:t>
        </w:r>
      </w:hyperlink>
      <w:r w:rsidRPr="00F9785E">
        <w:rPr>
          <w:rFonts w:ascii="Myriad Pro" w:hAnsi="Myriad Pro"/>
          <w:lang w:val="es-ES_tradnl"/>
        </w:rPr>
        <w:t xml:space="preserve">. </w:t>
      </w:r>
    </w:p>
  </w:footnote>
  <w:footnote w:id="7">
    <w:p w14:paraId="39053ECB" w14:textId="6BC3DB10" w:rsidR="003173C4" w:rsidRPr="00F9785E" w:rsidRDefault="003173C4" w:rsidP="00DD4F6D">
      <w:pPr>
        <w:pStyle w:val="FootnoteText"/>
        <w:spacing w:after="80"/>
        <w:rPr>
          <w:rFonts w:ascii="Myriad Pro" w:hAnsi="Myriad Pro"/>
          <w:lang w:val="es-ES_tradnl"/>
        </w:rPr>
      </w:pPr>
      <w:r w:rsidRPr="00F9785E">
        <w:rPr>
          <w:rStyle w:val="FootnoteReference"/>
          <w:rFonts w:ascii="Myriad Pro" w:hAnsi="Myriad Pro"/>
          <w:lang w:val="es-ES_tradnl"/>
        </w:rPr>
        <w:footnoteRef/>
      </w:r>
      <w:r w:rsidRPr="00F9785E">
        <w:rPr>
          <w:rFonts w:ascii="Myriad Pro" w:hAnsi="Myriad Pro"/>
          <w:lang w:val="es-ES_tradnl"/>
        </w:rPr>
        <w:t xml:space="preserve"> </w:t>
      </w:r>
      <w:r w:rsidR="000822F2" w:rsidRPr="00F9785E">
        <w:rPr>
          <w:rFonts w:ascii="Myriad Pro" w:hAnsi="Myriad Pro"/>
          <w:i/>
          <w:iCs/>
          <w:lang w:val="es-ES_tradnl"/>
        </w:rPr>
        <w:t>Véase también</w:t>
      </w:r>
      <w:r w:rsidR="00C93C34" w:rsidRPr="00F9785E">
        <w:rPr>
          <w:rFonts w:ascii="Myriad Pro" w:hAnsi="Myriad Pro"/>
          <w:lang w:val="es-ES_tradnl"/>
        </w:rPr>
        <w:t xml:space="preserve"> </w:t>
      </w:r>
      <w:r w:rsidR="000822F2" w:rsidRPr="00F9785E">
        <w:rPr>
          <w:rFonts w:ascii="Myriad Pro" w:hAnsi="Myriad Pro"/>
          <w:lang w:val="es-ES_tradnl"/>
        </w:rPr>
        <w:t xml:space="preserve">National Immigration Law Center, </w:t>
      </w:r>
      <w:r w:rsidR="005C1B1A" w:rsidRPr="00F9785E">
        <w:rPr>
          <w:rFonts w:ascii="Myriad Pro" w:hAnsi="Myriad Pro"/>
          <w:lang w:val="es-ES_tradnl"/>
        </w:rPr>
        <w:t>“</w:t>
      </w:r>
      <w:r w:rsidR="000822F2" w:rsidRPr="00F9785E">
        <w:rPr>
          <w:rFonts w:ascii="Myriad Pro" w:hAnsi="Myriad Pro"/>
          <w:lang w:val="es-ES_tradnl"/>
        </w:rPr>
        <w:t>Public Charge: What Advocates Need to Know About the November 2025 Proposed Rule</w:t>
      </w:r>
      <w:r w:rsidR="005C1B1A" w:rsidRPr="00F9785E">
        <w:rPr>
          <w:rFonts w:ascii="Myriad Pro" w:hAnsi="Myriad Pro"/>
          <w:lang w:val="es-ES_tradnl"/>
        </w:rPr>
        <w:t>”</w:t>
      </w:r>
      <w:r w:rsidR="000822F2" w:rsidRPr="00F9785E">
        <w:rPr>
          <w:rFonts w:ascii="Myriad Pro" w:hAnsi="Myriad Pro"/>
          <w:lang w:val="es-ES_tradnl"/>
        </w:rPr>
        <w:t xml:space="preserve"> [Carga pública: lo que los defensores deben saber sobre la regla propuesta de noviembre de 2025] (18 de noviembre de 2025</w:t>
      </w:r>
      <w:r w:rsidR="00C93C34" w:rsidRPr="00F9785E">
        <w:rPr>
          <w:rFonts w:ascii="Myriad Pro" w:hAnsi="Myriad Pro"/>
          <w:lang w:val="es-ES_tradnl"/>
        </w:rPr>
        <w:t xml:space="preserve">), </w:t>
      </w:r>
      <w:hyperlink r:id="rId9" w:history="1">
        <w:r w:rsidR="00C93C34" w:rsidRPr="00F9785E">
          <w:rPr>
            <w:rStyle w:val="Hyperlink"/>
            <w:rFonts w:ascii="Myriad Pro" w:hAnsi="Myriad Pro"/>
            <w:lang w:val="es-ES_tradnl"/>
          </w:rPr>
          <w:t>https://www.nilc.org/resources/public-charge-what-advocates-need-to-know-about-the-november-2025-proposed-rule/</w:t>
        </w:r>
      </w:hyperlink>
      <w:r w:rsidR="00C93C34" w:rsidRPr="00F9785E">
        <w:rPr>
          <w:rFonts w:ascii="Myriad Pro" w:hAnsi="Myriad Pro"/>
          <w:lang w:val="es-ES_tradnl"/>
        </w:rPr>
        <w:t xml:space="preserve">. </w:t>
      </w:r>
    </w:p>
  </w:footnote>
  <w:footnote w:id="8">
    <w:p w14:paraId="35675A15" w14:textId="5FEB4824" w:rsidR="001D7315" w:rsidRPr="00F9785E" w:rsidRDefault="001D7315" w:rsidP="00DD4F6D">
      <w:pPr>
        <w:pStyle w:val="FootnoteText"/>
        <w:spacing w:after="80"/>
        <w:rPr>
          <w:rFonts w:ascii="Myriad Pro" w:hAnsi="Myriad Pro"/>
          <w:lang w:val="es-ES_tradnl"/>
        </w:rPr>
      </w:pPr>
      <w:r w:rsidRPr="00F9785E">
        <w:rPr>
          <w:rStyle w:val="FootnoteReference"/>
          <w:rFonts w:ascii="Myriad Pro" w:hAnsi="Myriad Pro"/>
          <w:lang w:val="es-ES_tradnl"/>
        </w:rPr>
        <w:footnoteRef/>
      </w:r>
      <w:r w:rsidRPr="00F9785E">
        <w:rPr>
          <w:rFonts w:ascii="Myriad Pro" w:hAnsi="Myriad Pro"/>
          <w:lang w:val="es-ES_tradnl"/>
        </w:rPr>
        <w:t xml:space="preserve"> </w:t>
      </w:r>
      <w:r w:rsidR="00A40729" w:rsidRPr="00F9785E">
        <w:rPr>
          <w:rFonts w:ascii="Myriad Pro" w:hAnsi="Myriad Pro"/>
          <w:i/>
          <w:iCs/>
          <w:lang w:val="es-ES_tradnl"/>
        </w:rPr>
        <w:t>Véase también</w:t>
      </w:r>
      <w:r w:rsidRPr="00F9785E">
        <w:rPr>
          <w:rFonts w:ascii="Myriad Pro" w:hAnsi="Myriad Pro"/>
          <w:i/>
          <w:iCs/>
          <w:lang w:val="es-ES_tradnl"/>
        </w:rPr>
        <w:t xml:space="preserve"> </w:t>
      </w:r>
      <w:r w:rsidR="00A40729" w:rsidRPr="00F9785E">
        <w:rPr>
          <w:rFonts w:ascii="Myriad Pro" w:hAnsi="Myriad Pro"/>
          <w:bdr w:val="none" w:sz="0" w:space="0" w:color="auto" w:frame="1"/>
          <w:lang w:val="es-ES_tradnl"/>
        </w:rPr>
        <w:t>26 Op. O.L.C. 16 [Opiniones de la Oficina de Asesoría Legal] (13 de marzo de 2002)</w:t>
      </w:r>
      <w:r w:rsidRPr="00F9785E">
        <w:rPr>
          <w:rFonts w:ascii="Myriad Pro" w:hAnsi="Myriad Pro"/>
          <w:bdr w:val="none" w:sz="0" w:space="0" w:color="auto" w:frame="1"/>
          <w:lang w:val="es-ES_tradnl"/>
        </w:rPr>
        <w:t xml:space="preserve">, </w:t>
      </w:r>
      <w:hyperlink r:id="rId10" w:history="1">
        <w:r w:rsidRPr="00F9785E">
          <w:rPr>
            <w:rStyle w:val="Hyperlink"/>
            <w:rFonts w:ascii="Myriad Pro" w:hAnsi="Myriad Pro"/>
            <w:bdr w:val="none" w:sz="0" w:space="0" w:color="auto" w:frame="1"/>
            <w:lang w:val="es-ES_tradnl"/>
          </w:rPr>
          <w:t>https://www.justice.gov/sites/default/files/olc/legacy/2013/07/26/op-olc-26.pdf</w:t>
        </w:r>
      </w:hyperlink>
      <w:r w:rsidRPr="00F9785E">
        <w:rPr>
          <w:rFonts w:ascii="Myriad Pro" w:hAnsi="Myriad Pro"/>
          <w:bdr w:val="none" w:sz="0" w:space="0" w:color="auto" w:frame="1"/>
          <w:lang w:val="es-ES_tradnl"/>
        </w:rPr>
        <w:t xml:space="preserve"> (</w:t>
      </w:r>
      <w:r w:rsidR="00A40729" w:rsidRPr="00F9785E">
        <w:rPr>
          <w:rFonts w:ascii="Myriad Pro" w:hAnsi="Myriad Pro"/>
          <w:bdr w:val="none" w:sz="0" w:space="0" w:color="auto" w:frame="1"/>
          <w:lang w:val="es-ES_tradnl"/>
        </w:rPr>
        <w:t>llegando a la misma conclusión</w:t>
      </w:r>
      <w:r w:rsidRPr="00F9785E">
        <w:rPr>
          <w:rFonts w:ascii="Myriad Pro" w:hAnsi="Myriad Pro"/>
          <w:bdr w:val="none" w:sz="0" w:space="0" w:color="auto" w:frame="1"/>
          <w:lang w:val="es-ES_tradnl"/>
        </w:rPr>
        <w:t>).</w:t>
      </w:r>
    </w:p>
  </w:footnote>
  <w:footnote w:id="9">
    <w:p w14:paraId="15CC60B9" w14:textId="379E53E9" w:rsidR="00B46413" w:rsidRPr="00F9785E" w:rsidRDefault="00B46413" w:rsidP="00DD4F6D">
      <w:pPr>
        <w:pStyle w:val="FootnoteText"/>
        <w:spacing w:after="80"/>
        <w:rPr>
          <w:rFonts w:ascii="Myriad Pro" w:hAnsi="Myriad Pro"/>
          <w:lang w:val="es-ES_tradnl"/>
        </w:rPr>
      </w:pPr>
      <w:r w:rsidRPr="00F9785E">
        <w:rPr>
          <w:rStyle w:val="FootnoteReference"/>
          <w:rFonts w:ascii="Myriad Pro" w:hAnsi="Myriad Pro"/>
          <w:lang w:val="es-ES_tradnl"/>
        </w:rPr>
        <w:footnoteRef/>
      </w:r>
      <w:r w:rsidRPr="00F9785E">
        <w:rPr>
          <w:rFonts w:ascii="Myriad Pro" w:hAnsi="Myriad Pro"/>
          <w:lang w:val="es-ES_tradnl"/>
        </w:rPr>
        <w:t xml:space="preserve"> </w:t>
      </w:r>
      <w:r w:rsidR="003B13D5" w:rsidRPr="00F9785E">
        <w:rPr>
          <w:rFonts w:ascii="Myriad Pro" w:hAnsi="Myriad Pro"/>
          <w:i/>
          <w:iCs/>
          <w:lang w:val="es-ES_tradnl"/>
        </w:rPr>
        <w:t>Véase, por ejemplo</w:t>
      </w:r>
      <w:r w:rsidR="003B13D5" w:rsidRPr="00F9785E">
        <w:rPr>
          <w:rFonts w:ascii="Myriad Pro" w:hAnsi="Myriad Pro"/>
          <w:lang w:val="es-ES_tradnl"/>
        </w:rPr>
        <w:t>, USCIS, Disability Accommodations for the Public (Adaptaciones por discapacidad para el público)</w:t>
      </w:r>
      <w:r w:rsidRPr="00F9785E">
        <w:rPr>
          <w:rFonts w:ascii="Myriad Pro" w:hAnsi="Myriad Pro"/>
          <w:lang w:val="es-ES_tradnl"/>
        </w:rPr>
        <w:t xml:space="preserve">, </w:t>
      </w:r>
      <w:hyperlink r:id="rId11" w:history="1">
        <w:r w:rsidRPr="00F9785E">
          <w:rPr>
            <w:rStyle w:val="Hyperlink"/>
            <w:rFonts w:ascii="Myriad Pro" w:hAnsi="Myriad Pro"/>
            <w:lang w:val="es-ES_tradnl"/>
          </w:rPr>
          <w:t>https://www.uscis.gov/about-us/disability-accommodations-for-the-public</w:t>
        </w:r>
      </w:hyperlink>
      <w:r w:rsidRPr="00F9785E">
        <w:rPr>
          <w:rFonts w:ascii="Myriad Pro" w:hAnsi="Myriad Pro"/>
          <w:lang w:val="es-ES_tradnl"/>
        </w:rPr>
        <w:t xml:space="preserve">; </w:t>
      </w:r>
      <w:r w:rsidR="003B13D5" w:rsidRPr="00F9785E">
        <w:rPr>
          <w:rFonts w:ascii="Myriad Pro" w:hAnsi="Myriad Pro"/>
          <w:lang w:val="es-ES_tradnl"/>
        </w:rPr>
        <w:t>ICE Policy 6000: Assessment and Accommodations for Detainees with Disabilities (Evaluación y adaptaciones para detenidos con discapacidades) (febrero de 2025)</w:t>
      </w:r>
      <w:r w:rsidRPr="00F9785E">
        <w:rPr>
          <w:rFonts w:ascii="Myriad Pro" w:hAnsi="Myriad Pro"/>
          <w:lang w:val="es-ES_tradnl"/>
        </w:rPr>
        <w:t xml:space="preserve">, </w:t>
      </w:r>
      <w:hyperlink r:id="rId12" w:history="1">
        <w:r w:rsidRPr="00F9785E">
          <w:rPr>
            <w:rStyle w:val="Hyperlink"/>
            <w:rFonts w:ascii="Myriad Pro" w:hAnsi="Myriad Pro"/>
            <w:lang w:val="es-ES_tradnl"/>
          </w:rPr>
          <w:t>https://www.aila.org/library/ice-policy-6000-assessment-and-accommodations-for-detainees-with-disabilities</w:t>
        </w:r>
      </w:hyperlink>
      <w:r w:rsidRPr="00F9785E">
        <w:rPr>
          <w:rFonts w:ascii="Myriad Pro" w:hAnsi="Myriad Pro"/>
          <w:lang w:val="es-ES_tradnl"/>
        </w:rPr>
        <w:t xml:space="preserve">; </w:t>
      </w:r>
      <w:r w:rsidR="003B13D5" w:rsidRPr="00F9785E">
        <w:rPr>
          <w:rFonts w:ascii="Myriad Pro" w:hAnsi="Myriad Pro"/>
          <w:lang w:val="es-ES_tradnl"/>
        </w:rPr>
        <w:t>ICE, Disability Access Plan (Plan de acceso para personas con discapacidad) (agosto de 2020)</w:t>
      </w:r>
      <w:r w:rsidRPr="00F9785E">
        <w:rPr>
          <w:rFonts w:ascii="Myriad Pro" w:hAnsi="Myriad Pro"/>
          <w:lang w:val="es-ES_tradnl"/>
        </w:rPr>
        <w:t xml:space="preserve">, https://www.ice.gov/doclib/about/offices/dcr/iceDisabilityAccessPlan.pdf ; </w:t>
      </w:r>
      <w:r w:rsidR="003B13D5" w:rsidRPr="00F9785E">
        <w:rPr>
          <w:rFonts w:ascii="Myriad Pro" w:hAnsi="Myriad Pro"/>
          <w:lang w:val="es-ES_tradnl"/>
        </w:rPr>
        <w:t>CBP, Equal Opportunity Notice - Section 504 of the Rehabilitation Act of 1973 (Aviso de igualdad de oportunidades: Sección 504 de la Ley de Rehabilitación de 1973)</w:t>
      </w:r>
      <w:r w:rsidRPr="00F9785E">
        <w:rPr>
          <w:rFonts w:ascii="Myriad Pro" w:hAnsi="Myriad Pro"/>
          <w:lang w:val="es-ES_tradnl"/>
        </w:rPr>
        <w:t xml:space="preserve">, </w:t>
      </w:r>
      <w:hyperlink r:id="rId13" w:history="1">
        <w:r w:rsidRPr="00F9785E">
          <w:rPr>
            <w:rStyle w:val="Hyperlink"/>
            <w:rFonts w:ascii="Myriad Pro" w:hAnsi="Myriad Pro"/>
            <w:lang w:val="es-ES_tradnl"/>
          </w:rPr>
          <w:t>https://www.cbp.gov/site-policy-notices/accessibility/equal-opportunity-notice-section-504-rehabilitation-act-1973</w:t>
        </w:r>
      </w:hyperlink>
      <w:r w:rsidRPr="00F9785E">
        <w:rPr>
          <w:rFonts w:ascii="Myriad Pro" w:hAnsi="Myriad Pro"/>
          <w:lang w:val="es-ES_tradnl"/>
        </w:rPr>
        <w:t xml:space="preserve">; </w:t>
      </w:r>
      <w:r w:rsidR="003B13D5" w:rsidRPr="00F9785E">
        <w:rPr>
          <w:rFonts w:ascii="Myriad Pro" w:hAnsi="Myriad Pro"/>
          <w:lang w:val="es-ES_tradnl"/>
        </w:rPr>
        <w:t>CBP, Disability Access Plan for Public-Facing Programs and Activities (Plan de acceso para personas con discapacidad para programas y actividades de cara al público) (junio de 2019)</w:t>
      </w:r>
      <w:r w:rsidRPr="00F9785E">
        <w:rPr>
          <w:rFonts w:ascii="Myriad Pro" w:hAnsi="Myriad Pro"/>
          <w:lang w:val="es-ES_tradnl"/>
        </w:rPr>
        <w:t xml:space="preserve">, </w:t>
      </w:r>
      <w:hyperlink r:id="rId14" w:history="1">
        <w:r w:rsidRPr="00F9785E">
          <w:rPr>
            <w:rStyle w:val="Hyperlink"/>
            <w:rFonts w:ascii="Myriad Pro" w:hAnsi="Myriad Pro"/>
            <w:lang w:val="es-ES_tradnl"/>
          </w:rPr>
          <w:t>https://www.dhs.gov/sites/default/files/publications/cbp-disability-access-plan.pdf</w:t>
        </w:r>
      </w:hyperlink>
      <w:r w:rsidRPr="00F9785E">
        <w:rPr>
          <w:rFonts w:ascii="Myriad Pro" w:hAnsi="Myriad Pro"/>
          <w:lang w:val="es-ES_tradnl"/>
        </w:rPr>
        <w:t xml:space="preserve">. </w:t>
      </w:r>
    </w:p>
  </w:footnote>
  <w:footnote w:id="10">
    <w:p w14:paraId="5CA74749" w14:textId="70F23E40" w:rsidR="00B46413" w:rsidRPr="00F9785E" w:rsidRDefault="00B46413" w:rsidP="00DD4F6D">
      <w:pPr>
        <w:pStyle w:val="FootnoteText"/>
        <w:spacing w:after="80"/>
        <w:rPr>
          <w:rFonts w:ascii="Myriad Pro" w:hAnsi="Myriad Pro"/>
          <w:lang w:val="es-ES_tradnl"/>
        </w:rPr>
      </w:pPr>
      <w:r w:rsidRPr="00F9785E">
        <w:rPr>
          <w:rStyle w:val="FootnoteReference"/>
          <w:rFonts w:ascii="Myriad Pro" w:hAnsi="Myriad Pro"/>
          <w:lang w:val="es-ES_tradnl"/>
        </w:rPr>
        <w:footnoteRef/>
      </w:r>
      <w:r w:rsidRPr="00F9785E">
        <w:rPr>
          <w:rFonts w:ascii="Myriad Pro" w:hAnsi="Myriad Pro"/>
          <w:lang w:val="es-ES_tradnl"/>
        </w:rPr>
        <w:t xml:space="preserve"> </w:t>
      </w:r>
      <w:r w:rsidR="00E161BC" w:rsidRPr="00F9785E">
        <w:rPr>
          <w:rFonts w:ascii="Myriad Pro" w:hAnsi="Myriad Pro"/>
          <w:lang w:val="es-ES_tradnl"/>
        </w:rPr>
        <w:t>ICE Field Offices (Oficinas de campo de ICE)</w:t>
      </w:r>
      <w:r w:rsidRPr="00F9785E">
        <w:rPr>
          <w:rFonts w:ascii="Myriad Pro" w:hAnsi="Myriad Pro"/>
          <w:lang w:val="es-ES_tradnl"/>
        </w:rPr>
        <w:t xml:space="preserve">, </w:t>
      </w:r>
      <w:hyperlink r:id="rId15" w:history="1">
        <w:r w:rsidRPr="00F9785E">
          <w:rPr>
            <w:rStyle w:val="Hyperlink"/>
            <w:rFonts w:ascii="Myriad Pro" w:hAnsi="Myriad Pro"/>
            <w:lang w:val="es-ES_tradnl"/>
          </w:rPr>
          <w:t>https://www.ice.gov/contact/field-offices</w:t>
        </w:r>
      </w:hyperlink>
      <w:r w:rsidRPr="00F9785E">
        <w:rPr>
          <w:rFonts w:ascii="Myriad Pro" w:hAnsi="Myriad Pro"/>
          <w:lang w:val="es-ES_tradnl"/>
        </w:rPr>
        <w:t xml:space="preserve">. </w:t>
      </w:r>
    </w:p>
  </w:footnote>
  <w:footnote w:id="11">
    <w:p w14:paraId="1866B08F" w14:textId="2D565D8F" w:rsidR="00B46413" w:rsidRPr="00F9785E" w:rsidRDefault="00B46413" w:rsidP="00DD4F6D">
      <w:pPr>
        <w:pStyle w:val="FootnoteText"/>
        <w:spacing w:after="80"/>
        <w:rPr>
          <w:rFonts w:ascii="Myriad Pro" w:hAnsi="Myriad Pro"/>
          <w:lang w:val="es-ES_tradnl"/>
        </w:rPr>
      </w:pPr>
      <w:r w:rsidRPr="00F9785E">
        <w:rPr>
          <w:rStyle w:val="FootnoteReference"/>
          <w:rFonts w:ascii="Myriad Pro" w:hAnsi="Myriad Pro"/>
          <w:lang w:val="es-ES_tradnl"/>
        </w:rPr>
        <w:footnoteRef/>
      </w:r>
      <w:r w:rsidRPr="00F9785E">
        <w:rPr>
          <w:rFonts w:ascii="Myriad Pro" w:hAnsi="Myriad Pro"/>
          <w:lang w:val="es-ES_tradnl"/>
        </w:rPr>
        <w:t xml:space="preserve"> </w:t>
      </w:r>
      <w:r w:rsidR="00E161BC" w:rsidRPr="00F9785E">
        <w:rPr>
          <w:rFonts w:ascii="Myriad Pro" w:hAnsi="Myriad Pro"/>
          <w:i/>
          <w:iCs/>
          <w:lang w:val="es-ES_tradnl"/>
        </w:rPr>
        <w:t>Nat</w:t>
      </w:r>
      <w:r w:rsidR="005C1B1A" w:rsidRPr="00F9785E">
        <w:rPr>
          <w:rFonts w:ascii="Myriad Pro" w:hAnsi="Myriad Pro"/>
          <w:i/>
          <w:iCs/>
          <w:lang w:val="es-ES_tradnl"/>
        </w:rPr>
        <w:t>’</w:t>
      </w:r>
      <w:r w:rsidR="00E161BC" w:rsidRPr="00F9785E">
        <w:rPr>
          <w:rFonts w:ascii="Myriad Pro" w:hAnsi="Myriad Pro"/>
          <w:i/>
          <w:iCs/>
          <w:lang w:val="es-ES_tradnl"/>
        </w:rPr>
        <w:t>l Ass</w:t>
      </w:r>
      <w:r w:rsidR="005C1B1A" w:rsidRPr="00F9785E">
        <w:rPr>
          <w:rFonts w:ascii="Myriad Pro" w:hAnsi="Myriad Pro"/>
          <w:i/>
          <w:iCs/>
          <w:lang w:val="es-ES_tradnl"/>
        </w:rPr>
        <w:t>’</w:t>
      </w:r>
      <w:r w:rsidR="00E161BC" w:rsidRPr="00F9785E">
        <w:rPr>
          <w:rFonts w:ascii="Myriad Pro" w:hAnsi="Myriad Pro"/>
          <w:i/>
          <w:iCs/>
          <w:lang w:val="es-ES_tradnl"/>
        </w:rPr>
        <w:t>n of the Deaf v. Trump</w:t>
      </w:r>
      <w:r w:rsidR="00E161BC" w:rsidRPr="00F9785E">
        <w:rPr>
          <w:rFonts w:ascii="Myriad Pro" w:hAnsi="Myriad Pro"/>
          <w:lang w:val="es-ES_tradnl"/>
        </w:rPr>
        <w:t xml:space="preserve">, 808 F. Supp. 3d 150, 153 (D.D.C. 2025); </w:t>
      </w:r>
      <w:r w:rsidR="00E161BC" w:rsidRPr="00F9785E">
        <w:rPr>
          <w:rFonts w:ascii="Myriad Pro" w:hAnsi="Myriad Pro"/>
          <w:i/>
          <w:iCs/>
          <w:lang w:val="es-ES_tradnl"/>
        </w:rPr>
        <w:t>Nat</w:t>
      </w:r>
      <w:r w:rsidR="005C1B1A" w:rsidRPr="00F9785E">
        <w:rPr>
          <w:rFonts w:ascii="Myriad Pro" w:hAnsi="Myriad Pro"/>
          <w:i/>
          <w:iCs/>
          <w:lang w:val="es-ES_tradnl"/>
        </w:rPr>
        <w:t>’</w:t>
      </w:r>
      <w:r w:rsidR="00E161BC" w:rsidRPr="00F9785E">
        <w:rPr>
          <w:rFonts w:ascii="Myriad Pro" w:hAnsi="Myriad Pro"/>
          <w:i/>
          <w:iCs/>
          <w:lang w:val="es-ES_tradnl"/>
        </w:rPr>
        <w:t>l Ass</w:t>
      </w:r>
      <w:r w:rsidR="005C1B1A" w:rsidRPr="00F9785E">
        <w:rPr>
          <w:rFonts w:ascii="Myriad Pro" w:hAnsi="Myriad Pro"/>
          <w:i/>
          <w:iCs/>
          <w:lang w:val="es-ES_tradnl"/>
        </w:rPr>
        <w:t>’</w:t>
      </w:r>
      <w:r w:rsidR="00E161BC" w:rsidRPr="00F9785E">
        <w:rPr>
          <w:rFonts w:ascii="Myriad Pro" w:hAnsi="Myriad Pro"/>
          <w:i/>
          <w:iCs/>
          <w:lang w:val="es-ES_tradnl"/>
        </w:rPr>
        <w:t>n of the Deaf v. Trump</w:t>
      </w:r>
      <w:r w:rsidR="00E161BC" w:rsidRPr="00F9785E">
        <w:rPr>
          <w:rFonts w:ascii="Myriad Pro" w:hAnsi="Myriad Pro"/>
          <w:lang w:val="es-ES_tradnl"/>
        </w:rPr>
        <w:t xml:space="preserve">, 486 F. Supp. 3d 45, 55 (D.D.C. 2020) (recopilando casos); </w:t>
      </w:r>
      <w:r w:rsidR="00E161BC" w:rsidRPr="00F9785E">
        <w:rPr>
          <w:rFonts w:ascii="Myriad Pro" w:hAnsi="Myriad Pro"/>
          <w:i/>
          <w:iCs/>
          <w:lang w:val="es-ES_tradnl"/>
        </w:rPr>
        <w:t>Yeh v. United States Bureau of Prisons</w:t>
      </w:r>
      <w:r w:rsidR="00E161BC" w:rsidRPr="00F9785E">
        <w:rPr>
          <w:rFonts w:ascii="Myriad Pro" w:hAnsi="Myriad Pro"/>
          <w:lang w:val="es-ES_tradnl"/>
        </w:rPr>
        <w:t xml:space="preserve">, N.º 3:18cv943, 2019 U.S. Dist. LEXIS 131224, en *9 (M.D. Pa. 6 de agosto de 2019); </w:t>
      </w:r>
      <w:r w:rsidR="00E161BC" w:rsidRPr="00F9785E">
        <w:rPr>
          <w:rFonts w:ascii="Myriad Pro" w:hAnsi="Myriad Pro"/>
          <w:i/>
          <w:iCs/>
          <w:lang w:val="es-ES_tradnl"/>
        </w:rPr>
        <w:t>Washington v. Fed. Bureau of Prisons</w:t>
      </w:r>
      <w:r w:rsidR="00E161BC" w:rsidRPr="00F9785E">
        <w:rPr>
          <w:rFonts w:ascii="Myriad Pro" w:hAnsi="Myriad Pro"/>
          <w:lang w:val="es-ES_tradnl"/>
        </w:rPr>
        <w:t xml:space="preserve">, N.º 5:16-cv-03913-BHH-KDW, 2019 U.S. Dist. LEXIS 50591, en *24 (D.S.C. 3 de enero de 2019); </w:t>
      </w:r>
      <w:r w:rsidR="00E161BC" w:rsidRPr="00F9785E">
        <w:rPr>
          <w:rFonts w:ascii="Myriad Pro" w:hAnsi="Myriad Pro"/>
          <w:i/>
          <w:iCs/>
          <w:lang w:val="es-ES_tradnl"/>
        </w:rPr>
        <w:t>Sai v. Smith</w:t>
      </w:r>
      <w:r w:rsidR="00E161BC" w:rsidRPr="00F9785E">
        <w:rPr>
          <w:rFonts w:ascii="Myriad Pro" w:hAnsi="Myriad Pro"/>
          <w:lang w:val="es-ES_tradnl"/>
        </w:rPr>
        <w:t xml:space="preserve">, N.º 16-cv-01024-JST, 2018 U.S. Dist. LEXIS 11741, en *29 (N.D. Cal. 24 de enero de 2018); </w:t>
      </w:r>
      <w:r w:rsidR="00E161BC" w:rsidRPr="00F9785E">
        <w:rPr>
          <w:rFonts w:ascii="Myriad Pro" w:hAnsi="Myriad Pro"/>
          <w:i/>
          <w:iCs/>
          <w:lang w:val="es-ES_tradnl"/>
        </w:rPr>
        <w:t>Am. Council of the Blind v. Astrue</w:t>
      </w:r>
      <w:r w:rsidR="00E161BC" w:rsidRPr="00F9785E">
        <w:rPr>
          <w:rFonts w:ascii="Myriad Pro" w:hAnsi="Myriad Pro"/>
          <w:lang w:val="es-ES_tradnl"/>
        </w:rPr>
        <w:t xml:space="preserve">, N.º C 05-04696 WHA, 2008 U.S. Dist. LEXIS 86524, en *23 (N.D. Cal. 23 de abril de 2008); </w:t>
      </w:r>
      <w:r w:rsidR="00E161BC" w:rsidRPr="00F9785E">
        <w:rPr>
          <w:rFonts w:ascii="Myriad Pro" w:hAnsi="Myriad Pro"/>
          <w:i/>
          <w:iCs/>
          <w:lang w:val="es-ES_tradnl"/>
        </w:rPr>
        <w:t>Davis v. Astrue</w:t>
      </w:r>
      <w:r w:rsidR="00E161BC" w:rsidRPr="00F9785E">
        <w:rPr>
          <w:rFonts w:ascii="Myriad Pro" w:hAnsi="Myriad Pro"/>
          <w:lang w:val="es-ES_tradnl"/>
        </w:rPr>
        <w:t xml:space="preserve">, N.º C-06-6108 EMC, 2011 U.S. Dist. LEXIS 92336, en *14 (N.D. Cal. 18 de agosto de 2011); </w:t>
      </w:r>
      <w:r w:rsidR="00E161BC" w:rsidRPr="00F9785E">
        <w:rPr>
          <w:rFonts w:ascii="Myriad Pro" w:hAnsi="Myriad Pro"/>
          <w:i/>
          <w:iCs/>
          <w:lang w:val="es-ES_tradnl"/>
        </w:rPr>
        <w:t>Am. Council of the Blind v. Paulson</w:t>
      </w:r>
      <w:r w:rsidR="00E161BC" w:rsidRPr="00F9785E">
        <w:rPr>
          <w:rFonts w:ascii="Myriad Pro" w:hAnsi="Myriad Pro"/>
          <w:lang w:val="es-ES_tradnl"/>
        </w:rPr>
        <w:t xml:space="preserve">, 463 F. Supp. 2d 51, 58 (D.D.C. 2006); </w:t>
      </w:r>
      <w:r w:rsidR="00E161BC" w:rsidRPr="00F9785E">
        <w:rPr>
          <w:rFonts w:ascii="Myriad Pro" w:hAnsi="Myriad Pro"/>
          <w:i/>
          <w:iCs/>
          <w:lang w:val="es-ES_tradnl"/>
        </w:rPr>
        <w:t>véase también Mathis v. United States Parole Comm</w:t>
      </w:r>
      <w:r w:rsidR="005C1B1A" w:rsidRPr="00F9785E">
        <w:rPr>
          <w:rFonts w:ascii="Myriad Pro" w:hAnsi="Myriad Pro"/>
          <w:i/>
          <w:iCs/>
          <w:lang w:val="es-ES_tradnl"/>
        </w:rPr>
        <w:t>’</w:t>
      </w:r>
      <w:r w:rsidR="00E161BC" w:rsidRPr="00F9785E">
        <w:rPr>
          <w:rFonts w:ascii="Myriad Pro" w:hAnsi="Myriad Pro"/>
          <w:i/>
          <w:iCs/>
          <w:lang w:val="es-ES_tradnl"/>
        </w:rPr>
        <w:t>n</w:t>
      </w:r>
      <w:r w:rsidR="00E161BC" w:rsidRPr="00F9785E">
        <w:rPr>
          <w:rFonts w:ascii="Myriad Pro" w:hAnsi="Myriad Pro"/>
          <w:lang w:val="es-ES_tradnl"/>
        </w:rPr>
        <w:t>, 749 F. Supp. 3d 8, 24 (D.D.C. 2024) (permitiendo una acción privada no en virtud de la Sección 504, sino en equidad)</w:t>
      </w:r>
      <w:r w:rsidRPr="00F9785E">
        <w:rPr>
          <w:rFonts w:ascii="Myriad Pro" w:hAnsi="Myriad Pro"/>
          <w:lang w:val="es-ES_tradnl"/>
        </w:rPr>
        <w:t xml:space="preserve"> </w:t>
      </w:r>
    </w:p>
  </w:footnote>
  <w:footnote w:id="12">
    <w:p w14:paraId="159394A3" w14:textId="06F24BD2" w:rsidR="00E161BC" w:rsidRPr="00F9785E" w:rsidRDefault="00B46413" w:rsidP="00DD4F6D">
      <w:pPr>
        <w:pStyle w:val="FootnoteText"/>
        <w:spacing w:after="80"/>
        <w:rPr>
          <w:rFonts w:ascii="Myriad Pro" w:hAnsi="Myriad Pro"/>
          <w:lang w:val="es-ES_tradnl"/>
        </w:rPr>
      </w:pPr>
      <w:r w:rsidRPr="00F9785E">
        <w:rPr>
          <w:rStyle w:val="FootnoteReference"/>
          <w:rFonts w:ascii="Myriad Pro" w:hAnsi="Myriad Pro"/>
          <w:lang w:val="es-ES_tradnl"/>
        </w:rPr>
        <w:footnoteRef/>
      </w:r>
      <w:r w:rsidRPr="00F9785E">
        <w:rPr>
          <w:rFonts w:ascii="Myriad Pro" w:hAnsi="Myriad Pro"/>
          <w:lang w:val="es-ES_tradnl"/>
        </w:rPr>
        <w:t xml:space="preserve"> </w:t>
      </w:r>
      <w:r w:rsidR="00E161BC" w:rsidRPr="00F9785E">
        <w:rPr>
          <w:rFonts w:ascii="Myriad Pro" w:hAnsi="Myriad Pro"/>
          <w:i/>
          <w:iCs/>
          <w:lang w:val="es-ES_tradnl"/>
        </w:rPr>
        <w:t>Doe v. Spahn</w:t>
      </w:r>
      <w:r w:rsidR="00E161BC" w:rsidRPr="00F9785E">
        <w:rPr>
          <w:rFonts w:ascii="Myriad Pro" w:hAnsi="Myriad Pro"/>
          <w:lang w:val="es-ES_tradnl"/>
        </w:rPr>
        <w:t xml:space="preserve">, Acción Civil N.º 1:23-cv-02859 (CJN), 2025 U.S. Dist. LEXIS 86392, en *12 (D.D.C. 6 de mayo de 2025) (citando </w:t>
      </w:r>
      <w:r w:rsidR="00E161BC" w:rsidRPr="00F9785E">
        <w:rPr>
          <w:rFonts w:ascii="Myriad Pro" w:hAnsi="Myriad Pro"/>
          <w:i/>
          <w:iCs/>
          <w:lang w:val="es-ES_tradnl"/>
        </w:rPr>
        <w:t>SAI v. Department of Homeland Security</w:t>
      </w:r>
      <w:r w:rsidR="00E161BC" w:rsidRPr="00F9785E">
        <w:rPr>
          <w:rFonts w:ascii="Myriad Pro" w:hAnsi="Myriad Pro"/>
          <w:lang w:val="es-ES_tradnl"/>
        </w:rPr>
        <w:t xml:space="preserve"> [Departamento de Seguridad Nacional], 149 F. Supp. 3d 99 [D.D.C. 2015] y </w:t>
      </w:r>
      <w:r w:rsidR="00E161BC" w:rsidRPr="00F9785E">
        <w:rPr>
          <w:rFonts w:ascii="Myriad Pro" w:hAnsi="Myriad Pro"/>
          <w:i/>
          <w:iCs/>
          <w:lang w:val="es-ES_tradnl"/>
        </w:rPr>
        <w:t>Mathis v. United States Parole Commission</w:t>
      </w:r>
      <w:r w:rsidR="00E161BC" w:rsidRPr="00F9785E">
        <w:rPr>
          <w:rFonts w:ascii="Myriad Pro" w:hAnsi="Myriad Pro"/>
          <w:lang w:val="es-ES_tradnl"/>
        </w:rPr>
        <w:t xml:space="preserve"> [Comisión de Libertad Condicional de los Estados Unidos], 749 F. Supp. 3d 8 [D.D.C. 2024]); </w:t>
      </w:r>
      <w:r w:rsidR="00E161BC" w:rsidRPr="00F9785E">
        <w:rPr>
          <w:rFonts w:ascii="Myriad Pro" w:hAnsi="Myriad Pro"/>
          <w:i/>
          <w:iCs/>
          <w:lang w:val="es-ES_tradnl"/>
        </w:rPr>
        <w:t>Moya v. United States Dep</w:t>
      </w:r>
      <w:r w:rsidR="005C1B1A" w:rsidRPr="00F9785E">
        <w:rPr>
          <w:rFonts w:ascii="Myriad Pro" w:hAnsi="Myriad Pro"/>
          <w:i/>
          <w:iCs/>
          <w:lang w:val="es-ES_tradnl"/>
        </w:rPr>
        <w:t>’</w:t>
      </w:r>
      <w:r w:rsidR="00E161BC" w:rsidRPr="00F9785E">
        <w:rPr>
          <w:rFonts w:ascii="Myriad Pro" w:hAnsi="Myriad Pro"/>
          <w:i/>
          <w:iCs/>
          <w:lang w:val="es-ES_tradnl"/>
        </w:rPr>
        <w:t>t of Homeland Sec.</w:t>
      </w:r>
      <w:r w:rsidR="00E161BC" w:rsidRPr="00F9785E">
        <w:rPr>
          <w:rFonts w:ascii="Myriad Pro" w:hAnsi="Myriad Pro"/>
          <w:lang w:val="es-ES_tradnl"/>
        </w:rPr>
        <w:t xml:space="preserve"> [</w:t>
      </w:r>
      <w:r w:rsidR="00F9785E">
        <w:rPr>
          <w:rFonts w:ascii="Myriad Pro" w:hAnsi="Myriad Pro"/>
          <w:lang w:val="es-ES_tradnl"/>
        </w:rPr>
        <w:t>Departamento</w:t>
      </w:r>
      <w:r w:rsidR="00E161BC" w:rsidRPr="00F9785E">
        <w:rPr>
          <w:rFonts w:ascii="Myriad Pro" w:hAnsi="Myriad Pro"/>
          <w:lang w:val="es-ES_tradnl"/>
        </w:rPr>
        <w:t xml:space="preserve"> de Seguridad Nacional de los Estados Unidos], 975 F.3d 120, 124 (2d Cir. 2020)</w:t>
      </w:r>
    </w:p>
  </w:footnote>
  <w:footnote w:id="13">
    <w:p w14:paraId="6B94395F" w14:textId="5DF196E6" w:rsidR="005C1B1A" w:rsidRPr="00F9785E" w:rsidRDefault="00BC3621" w:rsidP="00DD4F6D">
      <w:pPr>
        <w:pStyle w:val="FootnoteText"/>
        <w:spacing w:after="80"/>
        <w:rPr>
          <w:rFonts w:ascii="Myriad Pro" w:hAnsi="Myriad Pro"/>
          <w:lang w:val="es-ES_tradnl"/>
        </w:rPr>
      </w:pPr>
      <w:r w:rsidRPr="00F9785E">
        <w:rPr>
          <w:rStyle w:val="FootnoteReference"/>
          <w:rFonts w:ascii="Myriad Pro" w:hAnsi="Myriad Pro"/>
          <w:lang w:val="es-ES_tradnl"/>
        </w:rPr>
        <w:footnoteRef/>
      </w:r>
      <w:r w:rsidRPr="00F9785E">
        <w:rPr>
          <w:rFonts w:ascii="Myriad Pro" w:hAnsi="Myriad Pro"/>
          <w:lang w:val="es-ES_tradnl"/>
        </w:rPr>
        <w:t xml:space="preserve"> </w:t>
      </w:r>
      <w:r w:rsidR="005C1B1A" w:rsidRPr="00F9785E">
        <w:rPr>
          <w:rFonts w:ascii="Myriad Pro" w:hAnsi="Myriad Pro"/>
          <w:i/>
          <w:iCs/>
          <w:lang w:val="es-ES_tradnl"/>
        </w:rPr>
        <w:t>Youngers v. LaSalle Corr. Transp. LLC</w:t>
      </w:r>
      <w:r w:rsidR="005C1B1A" w:rsidRPr="00F9785E">
        <w:rPr>
          <w:rFonts w:ascii="Myriad Pro" w:hAnsi="Myriad Pro"/>
          <w:lang w:val="es-ES_tradnl"/>
        </w:rPr>
        <w:t xml:space="preserve">, N.º 1:20-cv-00465-WJ-JHR, 2022 U.S. Dist. LEXIS 61371, en *9 (D.N.M. 1 de abril de 2022) (citando a </w:t>
      </w:r>
      <w:r w:rsidR="005C1B1A" w:rsidRPr="00F9785E">
        <w:rPr>
          <w:rFonts w:ascii="Myriad Pro" w:hAnsi="Myriad Pro"/>
          <w:i/>
          <w:iCs/>
          <w:lang w:val="es-ES_tradnl"/>
        </w:rPr>
        <w:t>DeVargas v. Mason &amp; Hanger-Silas Mason Co.</w:t>
      </w:r>
      <w:r w:rsidR="005C1B1A" w:rsidRPr="00F9785E">
        <w:rPr>
          <w:rFonts w:ascii="Myriad Pro" w:hAnsi="Myriad Pro"/>
          <w:lang w:val="es-ES_tradnl"/>
        </w:rPr>
        <w:t>, 911 F.2d 1377, 1383 [10th Cir. 1990]).</w:t>
      </w:r>
    </w:p>
  </w:footnote>
  <w:footnote w:id="14">
    <w:p w14:paraId="6A0EED8D" w14:textId="6AF7008D" w:rsidR="005C1B1A" w:rsidRPr="00F9785E" w:rsidRDefault="00B46413" w:rsidP="00DD4F6D">
      <w:pPr>
        <w:pStyle w:val="FootnoteText"/>
        <w:spacing w:after="80"/>
        <w:rPr>
          <w:rFonts w:ascii="Myriad Pro" w:hAnsi="Myriad Pro"/>
          <w:lang w:val="es-ES_tradnl"/>
        </w:rPr>
      </w:pPr>
      <w:r w:rsidRPr="00F9785E">
        <w:rPr>
          <w:rStyle w:val="FootnoteReference"/>
          <w:rFonts w:ascii="Myriad Pro" w:hAnsi="Myriad Pro"/>
          <w:lang w:val="es-ES_tradnl"/>
        </w:rPr>
        <w:footnoteRef/>
      </w:r>
      <w:r w:rsidRPr="00F9785E">
        <w:rPr>
          <w:rFonts w:ascii="Myriad Pro" w:hAnsi="Myriad Pro"/>
          <w:lang w:val="es-ES_tradnl"/>
        </w:rPr>
        <w:t xml:space="preserve"> </w:t>
      </w:r>
      <w:r w:rsidR="005C1B1A" w:rsidRPr="00F9785E">
        <w:rPr>
          <w:rFonts w:ascii="Myriad Pro" w:hAnsi="Myriad Pro"/>
          <w:i/>
          <w:iCs/>
          <w:lang w:val="es-ES_tradnl"/>
        </w:rPr>
        <w:t>Véase</w:t>
      </w:r>
      <w:r w:rsidR="005C1B1A" w:rsidRPr="00F9785E">
        <w:rPr>
          <w:rFonts w:ascii="Myriad Pro" w:hAnsi="Myriad Pro"/>
          <w:lang w:val="es-ES_tradnl"/>
        </w:rPr>
        <w:t xml:space="preserve"> 28 C.F.R. § 39.130(b)(1)(ii), (iii); 6 C.F.R. § 15.30(b)(1)(ii), (iii).</w:t>
      </w:r>
    </w:p>
  </w:footnote>
  <w:footnote w:id="15">
    <w:p w14:paraId="68396B17" w14:textId="1AB8D05C" w:rsidR="00CA61B0" w:rsidRPr="00F9785E" w:rsidRDefault="00CA61B0" w:rsidP="00DD4F6D">
      <w:pPr>
        <w:pStyle w:val="FootnoteText"/>
        <w:spacing w:after="80"/>
        <w:rPr>
          <w:rFonts w:ascii="Myriad Pro" w:hAnsi="Myriad Pro"/>
          <w:lang w:val="es-ES_tradnl"/>
        </w:rPr>
      </w:pPr>
      <w:r w:rsidRPr="00F9785E">
        <w:rPr>
          <w:rStyle w:val="FootnoteReference"/>
          <w:rFonts w:ascii="Myriad Pro" w:hAnsi="Myriad Pro"/>
          <w:lang w:val="es-ES_tradnl"/>
        </w:rPr>
        <w:footnoteRef/>
      </w:r>
      <w:r w:rsidRPr="00F9785E">
        <w:rPr>
          <w:rFonts w:ascii="Myriad Pro" w:hAnsi="Myriad Pro"/>
          <w:lang w:val="es-ES_tradnl"/>
        </w:rPr>
        <w:t xml:space="preserve"> </w:t>
      </w:r>
      <w:r w:rsidR="005C1B1A" w:rsidRPr="00F9785E">
        <w:rPr>
          <w:rFonts w:ascii="Myriad Pro" w:hAnsi="Myriad Pro"/>
          <w:lang w:val="es-ES_tradnl"/>
        </w:rPr>
        <w:t xml:space="preserve">ICE, </w:t>
      </w:r>
      <w:r w:rsidR="005C1B1A" w:rsidRPr="00F9785E">
        <w:rPr>
          <w:rFonts w:ascii="Myriad Pro" w:hAnsi="Myriad Pro"/>
          <w:i/>
          <w:iCs/>
          <w:lang w:val="es-ES_tradnl"/>
        </w:rPr>
        <w:t>National Detention Standards</w:t>
      </w:r>
      <w:r w:rsidR="005C1B1A" w:rsidRPr="00F9785E">
        <w:rPr>
          <w:rFonts w:ascii="Myriad Pro" w:hAnsi="Myriad Pro"/>
          <w:lang w:val="es-ES_tradnl"/>
        </w:rPr>
        <w:t xml:space="preserve"> (Normas Nacionales de Detención) (rev. 2026), </w:t>
      </w:r>
      <w:r w:rsidR="005C1B1A" w:rsidRPr="00F9785E">
        <w:rPr>
          <w:rFonts w:ascii="Myriad Pro" w:hAnsi="Myriad Pro"/>
          <w:i/>
          <w:iCs/>
          <w:lang w:val="es-ES_tradnl"/>
        </w:rPr>
        <w:t>Standard 4.7, Disability Identification, Assessment, and Accommodation</w:t>
      </w:r>
      <w:r w:rsidR="005C1B1A" w:rsidRPr="00F9785E">
        <w:rPr>
          <w:rFonts w:ascii="Myriad Pro" w:hAnsi="Myriad Pro"/>
          <w:lang w:val="es-ES_tradnl"/>
        </w:rPr>
        <w:t xml:space="preserve"> (Norma 4.7: Identificación, evaluación y adaptaciones por discapacidad)</w:t>
      </w:r>
      <w:r w:rsidRPr="00F9785E">
        <w:rPr>
          <w:rFonts w:ascii="Myriad Pro" w:hAnsi="Myriad Pro"/>
          <w:lang w:val="es-ES_tradnl"/>
        </w:rPr>
        <w:t>,</w:t>
      </w:r>
      <w:r w:rsidR="00827279" w:rsidRPr="00F9785E">
        <w:rPr>
          <w:rFonts w:ascii="Myriad Pro" w:hAnsi="Myriad Pro"/>
          <w:lang w:val="es-ES_tradnl"/>
        </w:rPr>
        <w:t xml:space="preserve"> </w:t>
      </w:r>
      <w:hyperlink r:id="rId16" w:history="1">
        <w:r w:rsidR="00827279" w:rsidRPr="00F9785E">
          <w:rPr>
            <w:rStyle w:val="Hyperlink"/>
            <w:rFonts w:ascii="Myriad Pro" w:hAnsi="Myriad Pro"/>
            <w:lang w:val="es-ES_tradnl"/>
          </w:rPr>
          <w:t>https://www.ice.gov/doclib/detention-standards/2026/nds2026.pdf</w:t>
        </w:r>
      </w:hyperlink>
      <w:r w:rsidR="00827279" w:rsidRPr="00F9785E">
        <w:rPr>
          <w:rFonts w:ascii="Myriad Pro" w:hAnsi="Myriad Pro"/>
          <w:lang w:val="es-ES_tradnl"/>
        </w:rPr>
        <w:t xml:space="preserve">.  </w:t>
      </w:r>
    </w:p>
  </w:footnote>
  <w:footnote w:id="16">
    <w:p w14:paraId="56C76EA2" w14:textId="3A0CB9A0" w:rsidR="005C1B1A" w:rsidRPr="00F9785E" w:rsidRDefault="00F7351A" w:rsidP="00DD4F6D">
      <w:pPr>
        <w:pStyle w:val="FootnoteText"/>
        <w:spacing w:after="80"/>
        <w:rPr>
          <w:rFonts w:ascii="Myriad Pro" w:hAnsi="Myriad Pro"/>
          <w:lang w:val="es-ES_tradnl"/>
        </w:rPr>
      </w:pPr>
      <w:r w:rsidRPr="00F9785E">
        <w:rPr>
          <w:rStyle w:val="FootnoteReference"/>
          <w:rFonts w:ascii="Myriad Pro" w:hAnsi="Myriad Pro"/>
          <w:lang w:val="es-ES_tradnl"/>
        </w:rPr>
        <w:footnoteRef/>
      </w:r>
      <w:r w:rsidRPr="00F9785E">
        <w:rPr>
          <w:rFonts w:ascii="Myriad Pro" w:hAnsi="Myriad Pro"/>
          <w:lang w:val="es-ES_tradnl"/>
        </w:rPr>
        <w:t xml:space="preserve"> </w:t>
      </w:r>
      <w:r w:rsidR="005C1B1A" w:rsidRPr="00F9785E">
        <w:rPr>
          <w:rFonts w:ascii="Myriad Pro" w:hAnsi="Myriad Pro"/>
          <w:i/>
          <w:iCs/>
          <w:lang w:val="es-ES_tradnl"/>
        </w:rPr>
        <w:t>Id.</w:t>
      </w:r>
      <w:r w:rsidR="005C1B1A" w:rsidRPr="00F9785E">
        <w:rPr>
          <w:rFonts w:ascii="Myriad Pro" w:hAnsi="Myriad Pro"/>
          <w:lang w:val="es-ES_tradnl"/>
        </w:rPr>
        <w:t xml:space="preserve">, en *19 (D.N.M. 1 de abril de 2022); </w:t>
      </w:r>
      <w:r w:rsidR="005C1B1A" w:rsidRPr="00F9785E">
        <w:rPr>
          <w:rFonts w:ascii="Myriad Pro" w:hAnsi="Myriad Pro"/>
          <w:i/>
          <w:iCs/>
          <w:lang w:val="es-ES_tradnl"/>
        </w:rPr>
        <w:t>Hernandez v. Cty. of Monterey</w:t>
      </w:r>
      <w:r w:rsidR="005C1B1A" w:rsidRPr="00F9785E">
        <w:rPr>
          <w:rFonts w:ascii="Myriad Pro" w:hAnsi="Myriad Pro"/>
          <w:lang w:val="es-ES_tradnl"/>
        </w:rPr>
        <w:t xml:space="preserve">, 70 F. Supp. 3d 963, 977 (N.D. Cal. 2014); </w:t>
      </w:r>
      <w:r w:rsidR="005C1B1A" w:rsidRPr="00F9785E">
        <w:rPr>
          <w:rFonts w:ascii="Myriad Pro" w:hAnsi="Myriad Pro"/>
          <w:i/>
          <w:iCs/>
          <w:lang w:val="es-ES_tradnl"/>
        </w:rPr>
        <w:t>Wilkins-Jones v. Cty. of Alameda</w:t>
      </w:r>
      <w:r w:rsidR="005C1B1A" w:rsidRPr="00F9785E">
        <w:rPr>
          <w:rFonts w:ascii="Myriad Pro" w:hAnsi="Myriad Pro"/>
          <w:lang w:val="es-ES_tradnl"/>
        </w:rPr>
        <w:t>, 859 F. Supp. 2d 1039, 1050 (N.D. Cal. 2012).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8A259C"/>
    <w:multiLevelType w:val="hybridMultilevel"/>
    <w:tmpl w:val="2AFED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BC3CBE"/>
    <w:multiLevelType w:val="hybridMultilevel"/>
    <w:tmpl w:val="F03482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550828"/>
    <w:multiLevelType w:val="hybridMultilevel"/>
    <w:tmpl w:val="22964156"/>
    <w:lvl w:ilvl="0" w:tplc="04090001">
      <w:start w:val="1"/>
      <w:numFmt w:val="bullet"/>
      <w:lvlText w:val=""/>
      <w:lvlJc w:val="left"/>
      <w:pPr>
        <w:ind w:left="764" w:hanging="360"/>
      </w:pPr>
      <w:rPr>
        <w:rFonts w:ascii="Symbol" w:hAnsi="Symbol" w:hint="default"/>
      </w:rPr>
    </w:lvl>
    <w:lvl w:ilvl="1" w:tplc="04090003" w:tentative="1">
      <w:start w:val="1"/>
      <w:numFmt w:val="bullet"/>
      <w:lvlText w:val="o"/>
      <w:lvlJc w:val="left"/>
      <w:pPr>
        <w:ind w:left="1484" w:hanging="360"/>
      </w:pPr>
      <w:rPr>
        <w:rFonts w:ascii="Courier New" w:hAnsi="Courier New" w:cs="Courier New" w:hint="default"/>
      </w:rPr>
    </w:lvl>
    <w:lvl w:ilvl="2" w:tplc="04090005" w:tentative="1">
      <w:start w:val="1"/>
      <w:numFmt w:val="bullet"/>
      <w:lvlText w:val=""/>
      <w:lvlJc w:val="left"/>
      <w:pPr>
        <w:ind w:left="2204" w:hanging="360"/>
      </w:pPr>
      <w:rPr>
        <w:rFonts w:ascii="Wingdings" w:hAnsi="Wingdings" w:hint="default"/>
      </w:rPr>
    </w:lvl>
    <w:lvl w:ilvl="3" w:tplc="04090001" w:tentative="1">
      <w:start w:val="1"/>
      <w:numFmt w:val="bullet"/>
      <w:lvlText w:val=""/>
      <w:lvlJc w:val="left"/>
      <w:pPr>
        <w:ind w:left="2924" w:hanging="360"/>
      </w:pPr>
      <w:rPr>
        <w:rFonts w:ascii="Symbol" w:hAnsi="Symbol" w:hint="default"/>
      </w:rPr>
    </w:lvl>
    <w:lvl w:ilvl="4" w:tplc="04090003" w:tentative="1">
      <w:start w:val="1"/>
      <w:numFmt w:val="bullet"/>
      <w:lvlText w:val="o"/>
      <w:lvlJc w:val="left"/>
      <w:pPr>
        <w:ind w:left="3644" w:hanging="360"/>
      </w:pPr>
      <w:rPr>
        <w:rFonts w:ascii="Courier New" w:hAnsi="Courier New" w:cs="Courier New" w:hint="default"/>
      </w:rPr>
    </w:lvl>
    <w:lvl w:ilvl="5" w:tplc="04090005" w:tentative="1">
      <w:start w:val="1"/>
      <w:numFmt w:val="bullet"/>
      <w:lvlText w:val=""/>
      <w:lvlJc w:val="left"/>
      <w:pPr>
        <w:ind w:left="4364" w:hanging="360"/>
      </w:pPr>
      <w:rPr>
        <w:rFonts w:ascii="Wingdings" w:hAnsi="Wingdings" w:hint="default"/>
      </w:rPr>
    </w:lvl>
    <w:lvl w:ilvl="6" w:tplc="04090001" w:tentative="1">
      <w:start w:val="1"/>
      <w:numFmt w:val="bullet"/>
      <w:lvlText w:val=""/>
      <w:lvlJc w:val="left"/>
      <w:pPr>
        <w:ind w:left="5084" w:hanging="360"/>
      </w:pPr>
      <w:rPr>
        <w:rFonts w:ascii="Symbol" w:hAnsi="Symbol" w:hint="default"/>
      </w:rPr>
    </w:lvl>
    <w:lvl w:ilvl="7" w:tplc="04090003" w:tentative="1">
      <w:start w:val="1"/>
      <w:numFmt w:val="bullet"/>
      <w:lvlText w:val="o"/>
      <w:lvlJc w:val="left"/>
      <w:pPr>
        <w:ind w:left="5804" w:hanging="360"/>
      </w:pPr>
      <w:rPr>
        <w:rFonts w:ascii="Courier New" w:hAnsi="Courier New" w:cs="Courier New" w:hint="default"/>
      </w:rPr>
    </w:lvl>
    <w:lvl w:ilvl="8" w:tplc="04090005" w:tentative="1">
      <w:start w:val="1"/>
      <w:numFmt w:val="bullet"/>
      <w:lvlText w:val=""/>
      <w:lvlJc w:val="left"/>
      <w:pPr>
        <w:ind w:left="6524" w:hanging="360"/>
      </w:pPr>
      <w:rPr>
        <w:rFonts w:ascii="Wingdings" w:hAnsi="Wingdings" w:hint="default"/>
      </w:rPr>
    </w:lvl>
  </w:abstractNum>
  <w:abstractNum w:abstractNumId="3" w15:restartNumberingAfterBreak="0">
    <w:nsid w:val="144F427C"/>
    <w:multiLevelType w:val="hybridMultilevel"/>
    <w:tmpl w:val="87D44F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4F24C97"/>
    <w:multiLevelType w:val="hybridMultilevel"/>
    <w:tmpl w:val="F89E5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28445F"/>
    <w:multiLevelType w:val="multilevel"/>
    <w:tmpl w:val="6F601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DE72D3"/>
    <w:multiLevelType w:val="hybridMultilevel"/>
    <w:tmpl w:val="12C20CA0"/>
    <w:lvl w:ilvl="0" w:tplc="F84899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BE80075"/>
    <w:multiLevelType w:val="multilevel"/>
    <w:tmpl w:val="184091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2F56F05"/>
    <w:multiLevelType w:val="hybridMultilevel"/>
    <w:tmpl w:val="D9C62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E42896"/>
    <w:multiLevelType w:val="hybridMultilevel"/>
    <w:tmpl w:val="6FE2A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134537"/>
    <w:multiLevelType w:val="hybridMultilevel"/>
    <w:tmpl w:val="411C5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D10DB6"/>
    <w:multiLevelType w:val="hybridMultilevel"/>
    <w:tmpl w:val="47480D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5C22AA7"/>
    <w:multiLevelType w:val="hybridMultilevel"/>
    <w:tmpl w:val="F3882BE0"/>
    <w:lvl w:ilvl="0" w:tplc="8F60BEB8">
      <w:start w:val="1"/>
      <w:numFmt w:val="bullet"/>
      <w:pStyle w:val="Heading2"/>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6603EFC"/>
    <w:multiLevelType w:val="hybridMultilevel"/>
    <w:tmpl w:val="30C0A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F872A5"/>
    <w:multiLevelType w:val="hybridMultilevel"/>
    <w:tmpl w:val="DFCE7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D8E0972"/>
    <w:multiLevelType w:val="hybridMultilevel"/>
    <w:tmpl w:val="13F63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77351478">
    <w:abstractNumId w:val="7"/>
  </w:num>
  <w:num w:numId="2" w16cid:durableId="50427291">
    <w:abstractNumId w:val="15"/>
  </w:num>
  <w:num w:numId="3" w16cid:durableId="1002901663">
    <w:abstractNumId w:val="10"/>
  </w:num>
  <w:num w:numId="4" w16cid:durableId="1845971515">
    <w:abstractNumId w:val="1"/>
  </w:num>
  <w:num w:numId="5" w16cid:durableId="811560225">
    <w:abstractNumId w:val="5"/>
  </w:num>
  <w:num w:numId="6" w16cid:durableId="305815423">
    <w:abstractNumId w:val="9"/>
  </w:num>
  <w:num w:numId="7" w16cid:durableId="1169367382">
    <w:abstractNumId w:val="0"/>
  </w:num>
  <w:num w:numId="8" w16cid:durableId="1719164520">
    <w:abstractNumId w:val="2"/>
  </w:num>
  <w:num w:numId="9" w16cid:durableId="882593293">
    <w:abstractNumId w:val="3"/>
  </w:num>
  <w:num w:numId="10" w16cid:durableId="1233202325">
    <w:abstractNumId w:val="6"/>
  </w:num>
  <w:num w:numId="11" w16cid:durableId="217471856">
    <w:abstractNumId w:val="4"/>
  </w:num>
  <w:num w:numId="12" w16cid:durableId="1107122697">
    <w:abstractNumId w:val="8"/>
  </w:num>
  <w:num w:numId="13" w16cid:durableId="785853107">
    <w:abstractNumId w:val="12"/>
  </w:num>
  <w:num w:numId="14" w16cid:durableId="1674606222">
    <w:abstractNumId w:val="13"/>
  </w:num>
  <w:num w:numId="15" w16cid:durableId="1015380752">
    <w:abstractNumId w:val="14"/>
  </w:num>
  <w:num w:numId="16" w16cid:durableId="1354578088">
    <w:abstractNumId w:val="1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embedTrueTypeFonts/>
  <w:saveSubset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B5C"/>
    <w:rsid w:val="00000E0C"/>
    <w:rsid w:val="0000257F"/>
    <w:rsid w:val="000121C8"/>
    <w:rsid w:val="00021963"/>
    <w:rsid w:val="00022962"/>
    <w:rsid w:val="00023966"/>
    <w:rsid w:val="00023C29"/>
    <w:rsid w:val="00026BBD"/>
    <w:rsid w:val="0003097F"/>
    <w:rsid w:val="000327B9"/>
    <w:rsid w:val="000370EB"/>
    <w:rsid w:val="00041A13"/>
    <w:rsid w:val="000473F4"/>
    <w:rsid w:val="00064071"/>
    <w:rsid w:val="000822F2"/>
    <w:rsid w:val="000955EF"/>
    <w:rsid w:val="000A02E4"/>
    <w:rsid w:val="000B5726"/>
    <w:rsid w:val="000D4663"/>
    <w:rsid w:val="000E357D"/>
    <w:rsid w:val="000E7ACB"/>
    <w:rsid w:val="000F5AFE"/>
    <w:rsid w:val="00103A16"/>
    <w:rsid w:val="00104BB3"/>
    <w:rsid w:val="00111C33"/>
    <w:rsid w:val="00124272"/>
    <w:rsid w:val="001255AA"/>
    <w:rsid w:val="00134A44"/>
    <w:rsid w:val="001471C8"/>
    <w:rsid w:val="0016797A"/>
    <w:rsid w:val="001864F3"/>
    <w:rsid w:val="00190919"/>
    <w:rsid w:val="00193F62"/>
    <w:rsid w:val="001B35DA"/>
    <w:rsid w:val="001B3CD5"/>
    <w:rsid w:val="001B4F81"/>
    <w:rsid w:val="001C5E0B"/>
    <w:rsid w:val="001C7FD1"/>
    <w:rsid w:val="001D7315"/>
    <w:rsid w:val="001E6153"/>
    <w:rsid w:val="001F5495"/>
    <w:rsid w:val="00205475"/>
    <w:rsid w:val="00210406"/>
    <w:rsid w:val="00222ED4"/>
    <w:rsid w:val="002237DF"/>
    <w:rsid w:val="002247B6"/>
    <w:rsid w:val="002259A3"/>
    <w:rsid w:val="002300D8"/>
    <w:rsid w:val="00232C58"/>
    <w:rsid w:val="00251304"/>
    <w:rsid w:val="00254C0C"/>
    <w:rsid w:val="00264DB0"/>
    <w:rsid w:val="00272869"/>
    <w:rsid w:val="002856DF"/>
    <w:rsid w:val="0029392B"/>
    <w:rsid w:val="00296956"/>
    <w:rsid w:val="002A1C9F"/>
    <w:rsid w:val="002A542D"/>
    <w:rsid w:val="002A647C"/>
    <w:rsid w:val="002B4C89"/>
    <w:rsid w:val="002B75F0"/>
    <w:rsid w:val="002B7C50"/>
    <w:rsid w:val="002C3A18"/>
    <w:rsid w:val="002D0069"/>
    <w:rsid w:val="002D6256"/>
    <w:rsid w:val="002D7BFD"/>
    <w:rsid w:val="002F571A"/>
    <w:rsid w:val="00302358"/>
    <w:rsid w:val="00305F85"/>
    <w:rsid w:val="00316797"/>
    <w:rsid w:val="003173C4"/>
    <w:rsid w:val="003247DC"/>
    <w:rsid w:val="00335B0B"/>
    <w:rsid w:val="003376D0"/>
    <w:rsid w:val="003478C0"/>
    <w:rsid w:val="00353197"/>
    <w:rsid w:val="00380D24"/>
    <w:rsid w:val="00384E44"/>
    <w:rsid w:val="0039012A"/>
    <w:rsid w:val="003A23EF"/>
    <w:rsid w:val="003A25CE"/>
    <w:rsid w:val="003A53C6"/>
    <w:rsid w:val="003B13D5"/>
    <w:rsid w:val="003E59A4"/>
    <w:rsid w:val="00400E5F"/>
    <w:rsid w:val="00401085"/>
    <w:rsid w:val="00425BDA"/>
    <w:rsid w:val="00426540"/>
    <w:rsid w:val="00433C37"/>
    <w:rsid w:val="004415C5"/>
    <w:rsid w:val="00441914"/>
    <w:rsid w:val="00453316"/>
    <w:rsid w:val="00470E6A"/>
    <w:rsid w:val="0047363D"/>
    <w:rsid w:val="00477A24"/>
    <w:rsid w:val="00483965"/>
    <w:rsid w:val="00486E99"/>
    <w:rsid w:val="00490CAB"/>
    <w:rsid w:val="004928CD"/>
    <w:rsid w:val="004A1635"/>
    <w:rsid w:val="004C1444"/>
    <w:rsid w:val="004C38DF"/>
    <w:rsid w:val="004D1769"/>
    <w:rsid w:val="004D65EA"/>
    <w:rsid w:val="004D7104"/>
    <w:rsid w:val="004E50B4"/>
    <w:rsid w:val="004F266A"/>
    <w:rsid w:val="004F6A20"/>
    <w:rsid w:val="00522D59"/>
    <w:rsid w:val="00531F3B"/>
    <w:rsid w:val="0055044D"/>
    <w:rsid w:val="005547E8"/>
    <w:rsid w:val="00562563"/>
    <w:rsid w:val="00563913"/>
    <w:rsid w:val="00564BF8"/>
    <w:rsid w:val="005815D0"/>
    <w:rsid w:val="005838B6"/>
    <w:rsid w:val="0059068E"/>
    <w:rsid w:val="00594647"/>
    <w:rsid w:val="00596685"/>
    <w:rsid w:val="005966D5"/>
    <w:rsid w:val="005A18C4"/>
    <w:rsid w:val="005A3B51"/>
    <w:rsid w:val="005B424B"/>
    <w:rsid w:val="005B58BA"/>
    <w:rsid w:val="005B6151"/>
    <w:rsid w:val="005C1B1A"/>
    <w:rsid w:val="005D5D41"/>
    <w:rsid w:val="00600F90"/>
    <w:rsid w:val="00601EF5"/>
    <w:rsid w:val="0060349D"/>
    <w:rsid w:val="00610C2B"/>
    <w:rsid w:val="00616C42"/>
    <w:rsid w:val="00624E32"/>
    <w:rsid w:val="00626219"/>
    <w:rsid w:val="00634C7D"/>
    <w:rsid w:val="0064067D"/>
    <w:rsid w:val="0064490A"/>
    <w:rsid w:val="00644F4D"/>
    <w:rsid w:val="00651090"/>
    <w:rsid w:val="00653951"/>
    <w:rsid w:val="006546D7"/>
    <w:rsid w:val="0065615C"/>
    <w:rsid w:val="00663C8D"/>
    <w:rsid w:val="006822BA"/>
    <w:rsid w:val="0068544D"/>
    <w:rsid w:val="006872B2"/>
    <w:rsid w:val="006B3152"/>
    <w:rsid w:val="006C4593"/>
    <w:rsid w:val="006E12BF"/>
    <w:rsid w:val="006F5F0C"/>
    <w:rsid w:val="00703E0E"/>
    <w:rsid w:val="00716C9B"/>
    <w:rsid w:val="00723369"/>
    <w:rsid w:val="007261A1"/>
    <w:rsid w:val="0075090A"/>
    <w:rsid w:val="007707C7"/>
    <w:rsid w:val="00773398"/>
    <w:rsid w:val="00783FC7"/>
    <w:rsid w:val="0078616A"/>
    <w:rsid w:val="00787BE8"/>
    <w:rsid w:val="00791EBB"/>
    <w:rsid w:val="007970D7"/>
    <w:rsid w:val="007A3446"/>
    <w:rsid w:val="007B0202"/>
    <w:rsid w:val="007B3099"/>
    <w:rsid w:val="007C2B76"/>
    <w:rsid w:val="007D15D2"/>
    <w:rsid w:val="007E7430"/>
    <w:rsid w:val="007F3B04"/>
    <w:rsid w:val="0080208E"/>
    <w:rsid w:val="00804CBE"/>
    <w:rsid w:val="00812AA7"/>
    <w:rsid w:val="00816611"/>
    <w:rsid w:val="008264AA"/>
    <w:rsid w:val="00827279"/>
    <w:rsid w:val="008275BE"/>
    <w:rsid w:val="008422BC"/>
    <w:rsid w:val="00857B64"/>
    <w:rsid w:val="0087238D"/>
    <w:rsid w:val="00874714"/>
    <w:rsid w:val="008806CE"/>
    <w:rsid w:val="0089073C"/>
    <w:rsid w:val="008A54E4"/>
    <w:rsid w:val="008A6CA6"/>
    <w:rsid w:val="008C4A85"/>
    <w:rsid w:val="008C7A4D"/>
    <w:rsid w:val="008E27D8"/>
    <w:rsid w:val="008F03C0"/>
    <w:rsid w:val="008F1ED2"/>
    <w:rsid w:val="008F3708"/>
    <w:rsid w:val="008F5541"/>
    <w:rsid w:val="00901846"/>
    <w:rsid w:val="00912504"/>
    <w:rsid w:val="00913C48"/>
    <w:rsid w:val="009171BE"/>
    <w:rsid w:val="00920D58"/>
    <w:rsid w:val="00920D95"/>
    <w:rsid w:val="00921C6C"/>
    <w:rsid w:val="009267FE"/>
    <w:rsid w:val="0094600F"/>
    <w:rsid w:val="00970D85"/>
    <w:rsid w:val="00977433"/>
    <w:rsid w:val="00983B0B"/>
    <w:rsid w:val="009B111C"/>
    <w:rsid w:val="009B4062"/>
    <w:rsid w:val="009B4CD8"/>
    <w:rsid w:val="009B513C"/>
    <w:rsid w:val="009C76C3"/>
    <w:rsid w:val="009E44DE"/>
    <w:rsid w:val="009E46AA"/>
    <w:rsid w:val="009E6005"/>
    <w:rsid w:val="009F2665"/>
    <w:rsid w:val="009F5FAC"/>
    <w:rsid w:val="00A04B47"/>
    <w:rsid w:val="00A05441"/>
    <w:rsid w:val="00A11452"/>
    <w:rsid w:val="00A15016"/>
    <w:rsid w:val="00A2418E"/>
    <w:rsid w:val="00A34788"/>
    <w:rsid w:val="00A40729"/>
    <w:rsid w:val="00A41E8C"/>
    <w:rsid w:val="00A5700D"/>
    <w:rsid w:val="00A6173E"/>
    <w:rsid w:val="00A61889"/>
    <w:rsid w:val="00A65486"/>
    <w:rsid w:val="00A70C3D"/>
    <w:rsid w:val="00A76108"/>
    <w:rsid w:val="00A8722E"/>
    <w:rsid w:val="00A90510"/>
    <w:rsid w:val="00A94A0A"/>
    <w:rsid w:val="00A9635C"/>
    <w:rsid w:val="00A9791D"/>
    <w:rsid w:val="00AA0822"/>
    <w:rsid w:val="00AA3F44"/>
    <w:rsid w:val="00AB2493"/>
    <w:rsid w:val="00AB5147"/>
    <w:rsid w:val="00AB6E61"/>
    <w:rsid w:val="00AC4697"/>
    <w:rsid w:val="00AD42B8"/>
    <w:rsid w:val="00AD791D"/>
    <w:rsid w:val="00AE188B"/>
    <w:rsid w:val="00AE5583"/>
    <w:rsid w:val="00AF0DDF"/>
    <w:rsid w:val="00B11B84"/>
    <w:rsid w:val="00B41317"/>
    <w:rsid w:val="00B46413"/>
    <w:rsid w:val="00B46BC5"/>
    <w:rsid w:val="00B50513"/>
    <w:rsid w:val="00B53A96"/>
    <w:rsid w:val="00B53BE2"/>
    <w:rsid w:val="00B603C0"/>
    <w:rsid w:val="00B73191"/>
    <w:rsid w:val="00B90206"/>
    <w:rsid w:val="00B9172D"/>
    <w:rsid w:val="00B960CC"/>
    <w:rsid w:val="00B96796"/>
    <w:rsid w:val="00BA4633"/>
    <w:rsid w:val="00BA746B"/>
    <w:rsid w:val="00BB2AEC"/>
    <w:rsid w:val="00BC1E78"/>
    <w:rsid w:val="00BC3621"/>
    <w:rsid w:val="00BC3902"/>
    <w:rsid w:val="00BC5C5B"/>
    <w:rsid w:val="00BC791E"/>
    <w:rsid w:val="00BF0C19"/>
    <w:rsid w:val="00BF13BF"/>
    <w:rsid w:val="00BF517E"/>
    <w:rsid w:val="00BF52D3"/>
    <w:rsid w:val="00C11115"/>
    <w:rsid w:val="00C2684B"/>
    <w:rsid w:val="00C3601A"/>
    <w:rsid w:val="00C46170"/>
    <w:rsid w:val="00C5385C"/>
    <w:rsid w:val="00C551C7"/>
    <w:rsid w:val="00C571A0"/>
    <w:rsid w:val="00C71EA2"/>
    <w:rsid w:val="00C748AE"/>
    <w:rsid w:val="00C8631D"/>
    <w:rsid w:val="00C93C34"/>
    <w:rsid w:val="00CA61B0"/>
    <w:rsid w:val="00CB1FE8"/>
    <w:rsid w:val="00CC245D"/>
    <w:rsid w:val="00CC3863"/>
    <w:rsid w:val="00CD3B79"/>
    <w:rsid w:val="00CD3FC8"/>
    <w:rsid w:val="00CE1563"/>
    <w:rsid w:val="00CE3D69"/>
    <w:rsid w:val="00CF1ACF"/>
    <w:rsid w:val="00CF32DB"/>
    <w:rsid w:val="00CF47A3"/>
    <w:rsid w:val="00D108B9"/>
    <w:rsid w:val="00D1688B"/>
    <w:rsid w:val="00D17D52"/>
    <w:rsid w:val="00D37A50"/>
    <w:rsid w:val="00D52AEB"/>
    <w:rsid w:val="00D66EE4"/>
    <w:rsid w:val="00D71FA8"/>
    <w:rsid w:val="00DA21B8"/>
    <w:rsid w:val="00DA34F2"/>
    <w:rsid w:val="00DB17B5"/>
    <w:rsid w:val="00DB5684"/>
    <w:rsid w:val="00DD0A84"/>
    <w:rsid w:val="00DD4F6D"/>
    <w:rsid w:val="00DD72A9"/>
    <w:rsid w:val="00DD7CB7"/>
    <w:rsid w:val="00DE2AE7"/>
    <w:rsid w:val="00DE3E77"/>
    <w:rsid w:val="00DE6E39"/>
    <w:rsid w:val="00DF303F"/>
    <w:rsid w:val="00DF7E66"/>
    <w:rsid w:val="00E0573A"/>
    <w:rsid w:val="00E119B2"/>
    <w:rsid w:val="00E12FB6"/>
    <w:rsid w:val="00E138BB"/>
    <w:rsid w:val="00E156A8"/>
    <w:rsid w:val="00E161BC"/>
    <w:rsid w:val="00E16BBC"/>
    <w:rsid w:val="00E22AEE"/>
    <w:rsid w:val="00E3749E"/>
    <w:rsid w:val="00E42E1E"/>
    <w:rsid w:val="00E45569"/>
    <w:rsid w:val="00E5016D"/>
    <w:rsid w:val="00E5077F"/>
    <w:rsid w:val="00E56B5C"/>
    <w:rsid w:val="00E61DBA"/>
    <w:rsid w:val="00E624C9"/>
    <w:rsid w:val="00E631BC"/>
    <w:rsid w:val="00E63C01"/>
    <w:rsid w:val="00E818A0"/>
    <w:rsid w:val="00EB2730"/>
    <w:rsid w:val="00EC26F1"/>
    <w:rsid w:val="00ED58E2"/>
    <w:rsid w:val="00EE76C6"/>
    <w:rsid w:val="00EF6459"/>
    <w:rsid w:val="00F06B26"/>
    <w:rsid w:val="00F07995"/>
    <w:rsid w:val="00F07BE8"/>
    <w:rsid w:val="00F204A6"/>
    <w:rsid w:val="00F20D47"/>
    <w:rsid w:val="00F26778"/>
    <w:rsid w:val="00F30383"/>
    <w:rsid w:val="00F419C6"/>
    <w:rsid w:val="00F42C7C"/>
    <w:rsid w:val="00F45169"/>
    <w:rsid w:val="00F56385"/>
    <w:rsid w:val="00F57A07"/>
    <w:rsid w:val="00F662FD"/>
    <w:rsid w:val="00F7351A"/>
    <w:rsid w:val="00F81BD3"/>
    <w:rsid w:val="00F87FA0"/>
    <w:rsid w:val="00F94E12"/>
    <w:rsid w:val="00F9785E"/>
    <w:rsid w:val="00FB1E07"/>
    <w:rsid w:val="00FB64D0"/>
    <w:rsid w:val="00FC29ED"/>
    <w:rsid w:val="00FC4003"/>
    <w:rsid w:val="00FC5145"/>
    <w:rsid w:val="00FD1F73"/>
    <w:rsid w:val="00FD3913"/>
    <w:rsid w:val="00FE7CFE"/>
    <w:rsid w:val="00FF5B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469A0"/>
  <w15:docId w15:val="{8D63E86E-6023-48CC-B0D9-A82AFE176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1090"/>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rsid w:val="00425BDA"/>
    <w:pPr>
      <w:spacing w:after="120" w:line="264" w:lineRule="auto"/>
      <w:outlineLvl w:val="0"/>
    </w:pPr>
    <w:rPr>
      <w:rFonts w:ascii="Myriad Pro" w:hAnsi="Myriad Pro"/>
      <w:b/>
      <w:bCs/>
      <w:sz w:val="32"/>
      <w:szCs w:val="32"/>
    </w:rPr>
  </w:style>
  <w:style w:type="paragraph" w:styleId="Heading2">
    <w:name w:val="heading 2"/>
    <w:basedOn w:val="ListParagraph"/>
    <w:next w:val="Normal"/>
    <w:uiPriority w:val="9"/>
    <w:unhideWhenUsed/>
    <w:qFormat/>
    <w:rsid w:val="00F30383"/>
    <w:pPr>
      <w:widowControl w:val="0"/>
      <w:numPr>
        <w:numId w:val="13"/>
      </w:numPr>
      <w:spacing w:before="160" w:after="160" w:line="240" w:lineRule="auto"/>
      <w:outlineLvl w:val="1"/>
    </w:pPr>
    <w:rPr>
      <w:rFonts w:ascii="Myriad Pro" w:hAnsi="Myriad Pro"/>
      <w:b/>
      <w:bCs/>
      <w:sz w:val="28"/>
      <w:szCs w:val="28"/>
    </w:rPr>
  </w:style>
  <w:style w:type="paragraph" w:styleId="Heading3">
    <w:name w:val="heading 3"/>
    <w:basedOn w:val="Normal"/>
    <w:next w:val="Normal"/>
    <w:uiPriority w:val="9"/>
    <w:semiHidden/>
    <w:unhideWhenUsed/>
    <w:qFormat/>
    <w:pPr>
      <w:keepNext/>
      <w:keepLines/>
      <w:spacing w:before="320" w:after="80" w:line="276" w:lineRule="auto"/>
      <w:outlineLvl w:val="2"/>
    </w:pPr>
    <w:rPr>
      <w:rFonts w:ascii="Arial" w:eastAsia="Arial" w:hAnsi="Arial" w:cs="Arial"/>
      <w:color w:val="434343"/>
      <w:sz w:val="28"/>
      <w:szCs w:val="28"/>
      <w:lang w:val="en"/>
    </w:rPr>
  </w:style>
  <w:style w:type="paragraph" w:styleId="Heading4">
    <w:name w:val="heading 4"/>
    <w:basedOn w:val="Normal"/>
    <w:next w:val="Normal"/>
    <w:uiPriority w:val="9"/>
    <w:semiHidden/>
    <w:unhideWhenUsed/>
    <w:qFormat/>
    <w:pPr>
      <w:keepNext/>
      <w:keepLines/>
      <w:spacing w:before="280" w:after="80" w:line="276" w:lineRule="auto"/>
      <w:outlineLvl w:val="3"/>
    </w:pPr>
    <w:rPr>
      <w:rFonts w:ascii="Arial" w:eastAsia="Arial" w:hAnsi="Arial" w:cs="Arial"/>
      <w:color w:val="666666"/>
      <w:lang w:val="en"/>
    </w:rPr>
  </w:style>
  <w:style w:type="paragraph" w:styleId="Heading5">
    <w:name w:val="heading 5"/>
    <w:basedOn w:val="Normal"/>
    <w:next w:val="Normal"/>
    <w:uiPriority w:val="9"/>
    <w:semiHidden/>
    <w:unhideWhenUsed/>
    <w:qFormat/>
    <w:pPr>
      <w:keepNext/>
      <w:keepLines/>
      <w:spacing w:before="240" w:after="80" w:line="276" w:lineRule="auto"/>
      <w:outlineLvl w:val="4"/>
    </w:pPr>
    <w:rPr>
      <w:rFonts w:ascii="Arial" w:eastAsia="Arial" w:hAnsi="Arial" w:cs="Arial"/>
      <w:color w:val="666666"/>
      <w:sz w:val="22"/>
      <w:szCs w:val="22"/>
      <w:lang w:val="en"/>
    </w:rPr>
  </w:style>
  <w:style w:type="paragraph" w:styleId="Heading6">
    <w:name w:val="heading 6"/>
    <w:basedOn w:val="Normal"/>
    <w:next w:val="Normal"/>
    <w:uiPriority w:val="9"/>
    <w:semiHidden/>
    <w:unhideWhenUsed/>
    <w:qFormat/>
    <w:pPr>
      <w:keepNext/>
      <w:keepLines/>
      <w:spacing w:before="240" w:after="80" w:line="276" w:lineRule="auto"/>
      <w:outlineLvl w:val="5"/>
    </w:pPr>
    <w:rPr>
      <w:rFonts w:ascii="Arial" w:eastAsia="Arial" w:hAnsi="Arial" w:cs="Arial"/>
      <w:i/>
      <w:iCs/>
      <w:color w:val="666666"/>
      <w:sz w:val="22"/>
      <w:szCs w:val="2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rsid w:val="00425BDA"/>
    <w:pPr>
      <w:spacing w:after="80"/>
      <w:jc w:val="center"/>
    </w:pPr>
    <w:rPr>
      <w:rFonts w:ascii="Myriad Pro" w:hAnsi="Myriad Pro"/>
      <w:b/>
      <w:bCs/>
      <w:sz w:val="28"/>
      <w:szCs w:val="28"/>
    </w:rPr>
  </w:style>
  <w:style w:type="paragraph" w:styleId="Subtitle">
    <w:name w:val="Subtitle"/>
    <w:basedOn w:val="Normal"/>
    <w:next w:val="Normal"/>
    <w:uiPriority w:val="11"/>
    <w:qFormat/>
    <w:pPr>
      <w:keepNext/>
      <w:keepLines/>
      <w:spacing w:after="320" w:line="276" w:lineRule="auto"/>
    </w:pPr>
    <w:rPr>
      <w:rFonts w:ascii="Arial" w:eastAsia="Arial" w:hAnsi="Arial" w:cs="Arial"/>
      <w:color w:val="666666"/>
      <w:sz w:val="30"/>
      <w:szCs w:val="30"/>
      <w:lang w:val="en"/>
    </w:rPr>
  </w:style>
  <w:style w:type="paragraph" w:styleId="ListParagraph">
    <w:name w:val="List Paragraph"/>
    <w:basedOn w:val="Normal"/>
    <w:uiPriority w:val="34"/>
    <w:qFormat/>
    <w:rsid w:val="007C2B76"/>
    <w:pPr>
      <w:spacing w:line="276" w:lineRule="auto"/>
      <w:ind w:left="720"/>
      <w:contextualSpacing/>
    </w:pPr>
    <w:rPr>
      <w:rFonts w:ascii="Arial" w:eastAsia="Arial" w:hAnsi="Arial" w:cs="Arial"/>
      <w:sz w:val="22"/>
      <w:szCs w:val="22"/>
      <w:lang w:val="en"/>
    </w:rPr>
  </w:style>
  <w:style w:type="paragraph" w:styleId="Header">
    <w:name w:val="header"/>
    <w:basedOn w:val="Normal"/>
    <w:link w:val="HeaderChar"/>
    <w:uiPriority w:val="99"/>
    <w:unhideWhenUsed/>
    <w:rsid w:val="008A6CA6"/>
    <w:pPr>
      <w:tabs>
        <w:tab w:val="center" w:pos="4680"/>
        <w:tab w:val="right" w:pos="9360"/>
      </w:tabs>
    </w:pPr>
    <w:rPr>
      <w:rFonts w:ascii="Arial" w:eastAsia="Arial" w:hAnsi="Arial" w:cs="Arial"/>
      <w:sz w:val="22"/>
      <w:szCs w:val="22"/>
      <w:lang w:val="en"/>
    </w:rPr>
  </w:style>
  <w:style w:type="character" w:customStyle="1" w:styleId="HeaderChar">
    <w:name w:val="Header Char"/>
    <w:basedOn w:val="DefaultParagraphFont"/>
    <w:link w:val="Header"/>
    <w:uiPriority w:val="99"/>
    <w:rsid w:val="008A6CA6"/>
  </w:style>
  <w:style w:type="paragraph" w:styleId="Footer">
    <w:name w:val="footer"/>
    <w:basedOn w:val="Normal"/>
    <w:link w:val="FooterChar"/>
    <w:uiPriority w:val="99"/>
    <w:unhideWhenUsed/>
    <w:rsid w:val="008A6CA6"/>
    <w:pPr>
      <w:tabs>
        <w:tab w:val="center" w:pos="4680"/>
        <w:tab w:val="right" w:pos="9360"/>
      </w:tabs>
    </w:pPr>
    <w:rPr>
      <w:rFonts w:ascii="Arial" w:eastAsia="Arial" w:hAnsi="Arial" w:cs="Arial"/>
      <w:sz w:val="22"/>
      <w:szCs w:val="22"/>
      <w:lang w:val="en"/>
    </w:rPr>
  </w:style>
  <w:style w:type="character" w:customStyle="1" w:styleId="FooterChar">
    <w:name w:val="Footer Char"/>
    <w:basedOn w:val="DefaultParagraphFont"/>
    <w:link w:val="Footer"/>
    <w:uiPriority w:val="99"/>
    <w:rsid w:val="008A6CA6"/>
  </w:style>
  <w:style w:type="character" w:styleId="PageNumber">
    <w:name w:val="page number"/>
    <w:basedOn w:val="DefaultParagraphFont"/>
    <w:uiPriority w:val="99"/>
    <w:semiHidden/>
    <w:unhideWhenUsed/>
    <w:rsid w:val="008A6CA6"/>
  </w:style>
  <w:style w:type="paragraph" w:styleId="Revision">
    <w:name w:val="Revision"/>
    <w:hidden/>
    <w:uiPriority w:val="99"/>
    <w:semiHidden/>
    <w:rsid w:val="00B11B84"/>
    <w:pPr>
      <w:spacing w:line="240" w:lineRule="auto"/>
    </w:pPr>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B11B84"/>
    <w:rPr>
      <w:sz w:val="16"/>
      <w:szCs w:val="16"/>
    </w:rPr>
  </w:style>
  <w:style w:type="paragraph" w:styleId="CommentText">
    <w:name w:val="annotation text"/>
    <w:basedOn w:val="Normal"/>
    <w:link w:val="CommentTextChar"/>
    <w:uiPriority w:val="99"/>
    <w:unhideWhenUsed/>
    <w:rsid w:val="00B11B84"/>
    <w:rPr>
      <w:sz w:val="20"/>
      <w:szCs w:val="20"/>
    </w:rPr>
  </w:style>
  <w:style w:type="character" w:customStyle="1" w:styleId="CommentTextChar">
    <w:name w:val="Comment Text Char"/>
    <w:basedOn w:val="DefaultParagraphFont"/>
    <w:link w:val="CommentText"/>
    <w:uiPriority w:val="99"/>
    <w:rsid w:val="00B11B84"/>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B11B84"/>
    <w:rPr>
      <w:b/>
      <w:bCs/>
    </w:rPr>
  </w:style>
  <w:style w:type="character" w:customStyle="1" w:styleId="CommentSubjectChar">
    <w:name w:val="Comment Subject Char"/>
    <w:basedOn w:val="CommentTextChar"/>
    <w:link w:val="CommentSubject"/>
    <w:uiPriority w:val="99"/>
    <w:semiHidden/>
    <w:rsid w:val="00B11B84"/>
    <w:rPr>
      <w:rFonts w:ascii="Times New Roman" w:eastAsia="Times New Roman" w:hAnsi="Times New Roman" w:cs="Times New Roman"/>
      <w:b/>
      <w:bCs/>
      <w:sz w:val="20"/>
      <w:szCs w:val="20"/>
      <w:lang w:val="en-US"/>
    </w:rPr>
  </w:style>
  <w:style w:type="character" w:styleId="Hyperlink">
    <w:name w:val="Hyperlink"/>
    <w:basedOn w:val="DefaultParagraphFont"/>
    <w:uiPriority w:val="99"/>
    <w:unhideWhenUsed/>
    <w:rsid w:val="004D65EA"/>
    <w:rPr>
      <w:color w:val="0000FF" w:themeColor="hyperlink"/>
      <w:u w:val="single"/>
    </w:rPr>
  </w:style>
  <w:style w:type="paragraph" w:styleId="FootnoteText">
    <w:name w:val="footnote text"/>
    <w:basedOn w:val="Normal"/>
    <w:link w:val="FootnoteTextChar"/>
    <w:uiPriority w:val="99"/>
    <w:unhideWhenUsed/>
    <w:rsid w:val="00103A16"/>
    <w:rPr>
      <w:sz w:val="20"/>
      <w:szCs w:val="20"/>
    </w:rPr>
  </w:style>
  <w:style w:type="character" w:customStyle="1" w:styleId="FootnoteTextChar">
    <w:name w:val="Footnote Text Char"/>
    <w:basedOn w:val="DefaultParagraphFont"/>
    <w:link w:val="FootnoteText"/>
    <w:uiPriority w:val="99"/>
    <w:rsid w:val="00103A16"/>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103A16"/>
    <w:rPr>
      <w:vertAlign w:val="superscript"/>
    </w:rPr>
  </w:style>
  <w:style w:type="character" w:styleId="UnresolvedMention">
    <w:name w:val="Unresolved Mention"/>
    <w:basedOn w:val="DefaultParagraphFont"/>
    <w:uiPriority w:val="99"/>
    <w:semiHidden/>
    <w:unhideWhenUsed/>
    <w:rsid w:val="00562563"/>
    <w:rPr>
      <w:color w:val="605E5C"/>
      <w:shd w:val="clear" w:color="auto" w:fill="E1DFDD"/>
    </w:rPr>
  </w:style>
  <w:style w:type="character" w:styleId="FollowedHyperlink">
    <w:name w:val="FollowedHyperlink"/>
    <w:basedOn w:val="DefaultParagraphFont"/>
    <w:uiPriority w:val="99"/>
    <w:semiHidden/>
    <w:unhideWhenUsed/>
    <w:rsid w:val="00E63C0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acaciajustice.org/wp-content/uploads/2023/12/2023-10-30-NQRP-Practice-Advisory-Procedural-Safeguards-and-Section-504-FINAL-updated-10-2023.pdf" TargetMode="External"/><Relationship Id="rId18" Type="http://schemas.openxmlformats.org/officeDocument/2006/relationships/hyperlink" Target="https://www.cliniclegal.org/file-download/download/public/375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redf.org/kyr-ras-immigration-procedures-and-proceedings/" TargetMode="External"/><Relationship Id="rId17" Type="http://schemas.openxmlformats.org/officeDocument/2006/relationships/hyperlink" Target="https://www.nilc.org/resources/advocating-on-behalf-of-patients-in-ice-custody-a-resource-for-healthcare-providers/" TargetMode="External"/><Relationship Id="rId2" Type="http://schemas.openxmlformats.org/officeDocument/2006/relationships/numbering" Target="numbering.xml"/><Relationship Id="rId16" Type="http://schemas.openxmlformats.org/officeDocument/2006/relationships/hyperlink" Target="https://www.ilrc.org/sites/default/files/resources/new_foia_dhs_practice_advisory_-_2021_0.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edf.org/faqs-disability-immigration-and-encounters-with-ice/" TargetMode="External"/><Relationship Id="rId5" Type="http://schemas.openxmlformats.org/officeDocument/2006/relationships/webSettings" Target="webSettings.xml"/><Relationship Id="rId15" Type="http://schemas.openxmlformats.org/officeDocument/2006/relationships/hyperlink" Target="https://www.americanimmigrationcouncil.org/practice-advisory/nightingale-v-uscis-and-foia-requests-immigration-case-files-files/" TargetMode="External"/><Relationship Id="rId10" Type="http://schemas.openxmlformats.org/officeDocument/2006/relationships/hyperlink" Target="mailto:info@dredf.or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scholarlycommons.law.northwestern.edu/nulr/vol119/iss3/1"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ice.gov/doclib/detention-standards/2025/nds2025.pdf" TargetMode="External"/><Relationship Id="rId13" Type="http://schemas.openxmlformats.org/officeDocument/2006/relationships/hyperlink" Target="https://www.cbp.gov/site-policy-notices/accessibility/equal-opportunity-notice-section-504-rehabilitation-act-1973" TargetMode="External"/><Relationship Id="rId3" Type="http://schemas.openxmlformats.org/officeDocument/2006/relationships/hyperlink" Target="https://humanrightsfirst.org/library/representing-asylum-seekers-with-disabilities-relevant-law/" TargetMode="External"/><Relationship Id="rId7" Type="http://schemas.openxmlformats.org/officeDocument/2006/relationships/hyperlink" Target="https://www.dhs.gov/sites/default/files/publications/dhs-instruction-nondiscrimination-individuals-disabilities_03-07-15.pdf" TargetMode="External"/><Relationship Id="rId12" Type="http://schemas.openxmlformats.org/officeDocument/2006/relationships/hyperlink" Target="https://www.aila.org/library/ice-policy-6000-assessment-and-accommodations-for-detainees-with-disabilities" TargetMode="External"/><Relationship Id="rId2" Type="http://schemas.openxmlformats.org/officeDocument/2006/relationships/hyperlink" Target="https://www.disabilityrightsca.org/drc-advocacy/investigations/inside-the-adelanto-ice-processing-center" TargetMode="External"/><Relationship Id="rId16" Type="http://schemas.openxmlformats.org/officeDocument/2006/relationships/hyperlink" Target="https://www.ice.gov/doclib/detention-standards/2026/nds2026.pdf" TargetMode="External"/><Relationship Id="rId1" Type="http://schemas.openxmlformats.org/officeDocument/2006/relationships/hyperlink" Target="https://www.sciencedirect.com/science/article/pii/S2666623525000017" TargetMode="External"/><Relationship Id="rId6" Type="http://schemas.openxmlformats.org/officeDocument/2006/relationships/hyperlink" Target="https://www.dhs.gov/sites/default/files/publications/dhs-management-directive-disability-access_0_0.pdf" TargetMode="External"/><Relationship Id="rId11" Type="http://schemas.openxmlformats.org/officeDocument/2006/relationships/hyperlink" Target="https://www.uscis.gov/about-us/disability-accommodations-for-the-public" TargetMode="External"/><Relationship Id="rId5" Type="http://schemas.openxmlformats.org/officeDocument/2006/relationships/hyperlink" Target="https://www.dhs.gov/sites/default/files/publications/disability-guide-component-self-evaluation.pdf" TargetMode="External"/><Relationship Id="rId15" Type="http://schemas.openxmlformats.org/officeDocument/2006/relationships/hyperlink" Target="https://www.ice.gov/contact/field-offices" TargetMode="External"/><Relationship Id="rId10" Type="http://schemas.openxmlformats.org/officeDocument/2006/relationships/hyperlink" Target="https://www.justice.gov/sites/default/files/olc/legacy/2013/07/26/op-olc-26.pdf" TargetMode="External"/><Relationship Id="rId4" Type="http://schemas.openxmlformats.org/officeDocument/2006/relationships/hyperlink" Target="https://www.verywellmind.com/immigration-trauma-6745707" TargetMode="External"/><Relationship Id="rId9" Type="http://schemas.openxmlformats.org/officeDocument/2006/relationships/hyperlink" Target="https://www.nilc.org/resources/public-charge-what-advocates-need-to-know-about-the-november-2025-proposed-rule/" TargetMode="External"/><Relationship Id="rId14" Type="http://schemas.openxmlformats.org/officeDocument/2006/relationships/hyperlink" Target="https://www.dhs.gov/sites/default/files/publications/cbp-disability-access-pla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F0FC2-56DC-0549-9A4B-61C338955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4891</Words>
  <Characters>29102</Characters>
  <Application>Microsoft Office Word</Application>
  <DocSecurity>0</DocSecurity>
  <Lines>461</Lines>
  <Paragraphs>126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How Does Section 504 of the Rehabilitation Act Apply to Immigration? An Overview</vt:lpstr>
      <vt:lpstr>How Does Section 504 of the Rehabilitation Act Apply to Immigration? An Overview</vt:lpstr>
    </vt:vector>
  </TitlesOfParts>
  <Manager/>
  <Company/>
  <LinksUpToDate>false</LinksUpToDate>
  <CharactersWithSpaces>33867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Does Section 504 of the Rehabilitation Act Apply to Immigration? An Overview</dc:title>
  <dc:subject/>
  <dc:creator>Disability Rights Education &amp; Defense Fund</dc:creator>
  <cp:keywords/>
  <dc:description/>
  <cp:lastModifiedBy>Tina Pinedo</cp:lastModifiedBy>
  <cp:revision>2</cp:revision>
  <cp:lastPrinted>2026-07-11T18:55:00Z</cp:lastPrinted>
  <dcterms:created xsi:type="dcterms:W3CDTF">2026-08-10T17:50:00Z</dcterms:created>
  <dcterms:modified xsi:type="dcterms:W3CDTF">2026-08-10T17:50:00Z</dcterms:modified>
  <cp:category/>
</cp:coreProperties>
</file>